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8C" w:rsidRPr="001F1343" w:rsidRDefault="0024411E" w:rsidP="00B934BF">
      <w:pPr>
        <w:jc w:val="center"/>
        <w:rPr>
          <w:rFonts w:ascii="Times New Roman" w:hAnsi="Times New Roman"/>
          <w:b/>
          <w:szCs w:val="22"/>
        </w:rPr>
      </w:pPr>
      <w:bookmarkStart w:id="0" w:name="Annex1"/>
      <w:bookmarkStart w:id="1" w:name="_GoBack"/>
      <w:bookmarkEnd w:id="1"/>
      <w:r>
        <w:rPr>
          <w:noProof/>
        </w:rPr>
        <w:drawing>
          <wp:anchor distT="0" distB="0" distL="114300" distR="114300" simplePos="0" relativeHeight="251658752" behindDoc="0" locked="0" layoutInCell="1" allowOverlap="1">
            <wp:simplePos x="0" y="0"/>
            <wp:positionH relativeFrom="column">
              <wp:posOffset>164465</wp:posOffset>
            </wp:positionH>
            <wp:positionV relativeFrom="paragraph">
              <wp:posOffset>113665</wp:posOffset>
            </wp:positionV>
            <wp:extent cx="723265" cy="1550670"/>
            <wp:effectExtent l="0" t="0" r="0" b="0"/>
            <wp:wrapNone/>
            <wp:docPr id="7" name="Picture 2" descr="cid:image001.png@01CCBAD9.F030A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CBAD9.F030A0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23265" cy="1550670"/>
                    </a:xfrm>
                    <a:prstGeom prst="rect">
                      <a:avLst/>
                    </a:prstGeom>
                    <a:noFill/>
                    <a:ln>
                      <a:noFill/>
                    </a:ln>
                  </pic:spPr>
                </pic:pic>
              </a:graphicData>
            </a:graphic>
          </wp:anchor>
        </w:drawing>
      </w:r>
      <w:r w:rsidR="00CA7034">
        <w:rPr>
          <w:color w:val="0000FF"/>
          <w:sz w:val="27"/>
        </w:rPr>
        <w:t xml:space="preserve"> </w:t>
      </w:r>
    </w:p>
    <w:p w:rsidR="00D6708C" w:rsidRPr="001F1343" w:rsidRDefault="0024411E" w:rsidP="001A7BB1">
      <w:pPr>
        <w:jc w:val="center"/>
        <w:rPr>
          <w:rFonts w:ascii="Times New Roman" w:hAnsi="Times New Roman"/>
          <w:b/>
          <w:szCs w:val="22"/>
        </w:rPr>
      </w:pPr>
      <w:r>
        <w:rPr>
          <w:noProof/>
        </w:rPr>
        <w:drawing>
          <wp:anchor distT="0" distB="0" distL="114300" distR="114300" simplePos="0" relativeHeight="251655680" behindDoc="0" locked="0" layoutInCell="1" allowOverlap="1">
            <wp:simplePos x="0" y="0"/>
            <wp:positionH relativeFrom="margin">
              <wp:posOffset>4914265</wp:posOffset>
            </wp:positionH>
            <wp:positionV relativeFrom="paragraph">
              <wp:posOffset>24130</wp:posOffset>
            </wp:positionV>
            <wp:extent cx="970280" cy="1020445"/>
            <wp:effectExtent l="0" t="0" r="0" b="0"/>
            <wp:wrapSquare wrapText="bothSides"/>
            <wp:docPr id="6"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280" cy="1020445"/>
                    </a:xfrm>
                    <a:prstGeom prst="rect">
                      <a:avLst/>
                    </a:prstGeom>
                    <a:noFill/>
                    <a:ln>
                      <a:noFill/>
                    </a:ln>
                  </pic:spPr>
                </pic:pic>
              </a:graphicData>
            </a:graphic>
          </wp:anchor>
        </w:drawing>
      </w:r>
      <w:r w:rsidR="000E6CB0">
        <w:rPr>
          <w:rFonts w:ascii="Times New Roman" w:hAnsi="Times New Roman"/>
          <w:b/>
        </w:rPr>
        <w:t xml:space="preserve">              </w:t>
      </w:r>
      <w:r w:rsidR="000E6CB0">
        <w:rPr>
          <w:rFonts w:ascii="Calibri" w:hAnsi="Calibri"/>
          <w:color w:val="1F497D"/>
          <w:sz w:val="16"/>
        </w:rPr>
        <w:t xml:space="preserve"> </w:t>
      </w:r>
      <w:r>
        <w:rPr>
          <w:noProof/>
          <w:color w:val="0000FF"/>
          <w:sz w:val="27"/>
        </w:rPr>
        <w:drawing>
          <wp:inline distT="0" distB="0" distL="0" distR="0">
            <wp:extent cx="1482090" cy="1039495"/>
            <wp:effectExtent l="0" t="0" r="0" b="1905"/>
            <wp:docPr id="1" name="Picture 3" descr="https://encrypted-tbn1.gstatic.com/images?q=tbn:ANd9GcRs7YmlzSZsjvlIH5nbPY9q7xi-zyRve9xbcD-kb7SaGWw1__X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s7YmlzSZsjvlIH5nbPY9q7xi-zyRve9xbcD-kb7SaGWw1__X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2090" cy="1039495"/>
                    </a:xfrm>
                    <a:prstGeom prst="rect">
                      <a:avLst/>
                    </a:prstGeom>
                    <a:noFill/>
                    <a:ln>
                      <a:noFill/>
                    </a:ln>
                  </pic:spPr>
                </pic:pic>
              </a:graphicData>
            </a:graphic>
          </wp:inline>
        </w:drawing>
      </w:r>
    </w:p>
    <w:p w:rsidR="008716F7" w:rsidRPr="001F1343" w:rsidRDefault="008716F7" w:rsidP="00626BAB">
      <w:pPr>
        <w:rPr>
          <w:rFonts w:ascii="Times New Roman" w:hAnsi="Times New Roman"/>
          <w:b/>
          <w:szCs w:val="22"/>
        </w:rPr>
      </w:pPr>
    </w:p>
    <w:p w:rsidR="001A7BB1" w:rsidRPr="001F1343" w:rsidRDefault="001A7BB1" w:rsidP="00626BAB">
      <w:pPr>
        <w:rPr>
          <w:rFonts w:ascii="Times New Roman" w:hAnsi="Times New Roman"/>
          <w:b/>
          <w:szCs w:val="22"/>
        </w:rPr>
      </w:pPr>
    </w:p>
    <w:bookmarkEnd w:id="0"/>
    <w:p w:rsidR="00B934BF" w:rsidRPr="001F1343" w:rsidRDefault="00CA7034" w:rsidP="004159AD">
      <w:pPr>
        <w:spacing w:after="120"/>
        <w:jc w:val="center"/>
        <w:rPr>
          <w:rFonts w:ascii="Times New Roman" w:hAnsi="Times New Roman"/>
          <w:b/>
          <w:szCs w:val="22"/>
        </w:rPr>
      </w:pPr>
      <w:r>
        <w:rPr>
          <w:rFonts w:ascii="Times New Roman" w:hAnsi="Times New Roman"/>
          <w:b/>
        </w:rPr>
        <w:t>Programme des Nations Unies pour le développement</w:t>
      </w:r>
    </w:p>
    <w:p w:rsidR="00B934BF" w:rsidRPr="001F1343" w:rsidRDefault="00C14395" w:rsidP="004159AD">
      <w:pPr>
        <w:spacing w:after="120"/>
        <w:jc w:val="center"/>
        <w:rPr>
          <w:rFonts w:ascii="Times New Roman" w:hAnsi="Times New Roman"/>
          <w:b/>
          <w:szCs w:val="22"/>
        </w:rPr>
      </w:pPr>
      <w:r>
        <w:rPr>
          <w:rFonts w:ascii="Times New Roman" w:hAnsi="Times New Roman"/>
          <w:b/>
        </w:rPr>
        <w:t xml:space="preserve">Pays : </w:t>
      </w:r>
      <w:r w:rsidR="00CA7034">
        <w:rPr>
          <w:rFonts w:ascii="Times New Roman" w:hAnsi="Times New Roman"/>
          <w:b/>
        </w:rPr>
        <w:t xml:space="preserve">République de Guinée </w:t>
      </w:r>
    </w:p>
    <w:p w:rsidR="00B934BF" w:rsidRPr="001F1343" w:rsidRDefault="00CA7034" w:rsidP="00B934BF">
      <w:pPr>
        <w:spacing w:after="240"/>
        <w:jc w:val="center"/>
        <w:rPr>
          <w:rFonts w:ascii="Times New Roman" w:hAnsi="Times New Roman"/>
          <w:b/>
          <w:szCs w:val="22"/>
        </w:rPr>
      </w:pPr>
      <w:r>
        <w:rPr>
          <w:rFonts w:ascii="Times New Roman" w:hAnsi="Times New Roman"/>
          <w:b/>
        </w:rPr>
        <w:t>DOCUMENT DE PROJET</w:t>
      </w:r>
    </w:p>
    <w:tbl>
      <w:tblPr>
        <w:tblW w:w="0" w:type="auto"/>
        <w:tblLook w:val="01E0" w:firstRow="1" w:lastRow="1" w:firstColumn="1" w:lastColumn="1" w:noHBand="0" w:noVBand="0"/>
      </w:tblPr>
      <w:tblGrid>
        <w:gridCol w:w="9382"/>
      </w:tblGrid>
      <w:tr w:rsidR="00B934BF" w:rsidRPr="001F1343" w:rsidTr="00626BAB">
        <w:trPr>
          <w:trHeight w:val="359"/>
        </w:trPr>
        <w:tc>
          <w:tcPr>
            <w:tcW w:w="0" w:type="auto"/>
            <w:vAlign w:val="center"/>
          </w:tcPr>
          <w:p w:rsidR="00B934BF" w:rsidRPr="001F1343" w:rsidRDefault="00CA7034" w:rsidP="00626BAB">
            <w:pPr>
              <w:tabs>
                <w:tab w:val="left" w:pos="4680"/>
              </w:tabs>
              <w:spacing w:after="0"/>
              <w:rPr>
                <w:rFonts w:ascii="Times New Roman" w:hAnsi="Times New Roman"/>
                <w:b/>
                <w:bCs/>
                <w:szCs w:val="22"/>
              </w:rPr>
            </w:pPr>
            <w:r>
              <w:rPr>
                <w:rFonts w:ascii="Times New Roman" w:hAnsi="Times New Roman"/>
                <w:b/>
              </w:rPr>
              <w:t>Intitulé du projet : Création d'un marché à des fins de développement et d'utilisation de ressources en biogaz en Guinée.</w:t>
            </w:r>
          </w:p>
          <w:p w:rsidR="002A5AE4" w:rsidRPr="001F1343" w:rsidRDefault="002A5AE4" w:rsidP="00626BAB">
            <w:pPr>
              <w:tabs>
                <w:tab w:val="left" w:pos="4680"/>
              </w:tabs>
              <w:spacing w:after="0"/>
              <w:rPr>
                <w:rFonts w:ascii="Times New Roman" w:hAnsi="Times New Roman"/>
                <w:szCs w:val="22"/>
                <w:shd w:val="clear" w:color="000000" w:fill="auto"/>
              </w:rPr>
            </w:pPr>
          </w:p>
        </w:tc>
      </w:tr>
      <w:tr w:rsidR="00B934BF" w:rsidRPr="001F1343" w:rsidTr="00626BAB">
        <w:trPr>
          <w:trHeight w:val="150"/>
        </w:trPr>
        <w:tc>
          <w:tcPr>
            <w:tcW w:w="0" w:type="auto"/>
            <w:vAlign w:val="center"/>
          </w:tcPr>
          <w:p w:rsidR="00B934BF" w:rsidRPr="001F1343" w:rsidRDefault="00CA7034" w:rsidP="00626BAB">
            <w:pPr>
              <w:tabs>
                <w:tab w:val="left" w:pos="4680"/>
              </w:tabs>
              <w:spacing w:after="0"/>
              <w:rPr>
                <w:rFonts w:ascii="Times New Roman" w:hAnsi="Times New Roman"/>
                <w:bCs/>
                <w:szCs w:val="22"/>
              </w:rPr>
            </w:pPr>
            <w:r>
              <w:rPr>
                <w:rFonts w:ascii="Times New Roman" w:hAnsi="Times New Roman"/>
                <w:b/>
              </w:rPr>
              <w:t xml:space="preserve">Résultat(s) du PNUAD : </w:t>
            </w:r>
            <w:r>
              <w:rPr>
                <w:rFonts w:ascii="Times New Roman" w:hAnsi="Times New Roman"/>
              </w:rPr>
              <w:t>Protection de l'environnement et gestion durable des ressources naturelles.</w:t>
            </w:r>
          </w:p>
          <w:p w:rsidR="0089525B" w:rsidRPr="001F1343" w:rsidRDefault="0089525B" w:rsidP="00626BAB">
            <w:pPr>
              <w:tabs>
                <w:tab w:val="left" w:pos="4680"/>
              </w:tabs>
              <w:spacing w:after="0"/>
              <w:rPr>
                <w:rFonts w:ascii="Times New Roman" w:hAnsi="Times New Roman"/>
                <w:bCs/>
                <w:szCs w:val="22"/>
              </w:rPr>
            </w:pPr>
          </w:p>
          <w:p w:rsidR="002B3E67" w:rsidRPr="001F1343" w:rsidRDefault="00CA7034" w:rsidP="00F544FD">
            <w:pPr>
              <w:tabs>
                <w:tab w:val="left" w:pos="4680"/>
              </w:tabs>
              <w:spacing w:after="0"/>
              <w:rPr>
                <w:rFonts w:ascii="Times New Roman" w:hAnsi="Times New Roman"/>
                <w:bCs/>
                <w:szCs w:val="22"/>
              </w:rPr>
            </w:pPr>
            <w:r>
              <w:rPr>
                <w:rFonts w:ascii="Times New Roman" w:hAnsi="Times New Roman"/>
                <w:b/>
              </w:rPr>
              <w:t xml:space="preserve">Domaine d'action du plan stratégique du PNUD : Produit 1.3 : </w:t>
            </w:r>
            <w:r w:rsidR="00E56F6C">
              <w:rPr>
                <w:rFonts w:ascii="Times New Roman" w:hAnsi="Times New Roman"/>
              </w:rPr>
              <w:t>s</w:t>
            </w:r>
            <w:r>
              <w:rPr>
                <w:rFonts w:ascii="Times New Roman" w:hAnsi="Times New Roman"/>
              </w:rPr>
              <w:t>olutions inclusives et durables adoptées afin de parvenir à une efficacité énergétique accrue et à un accès universel à des sources d'énergie modernes (notamment des sources d'éne</w:t>
            </w:r>
            <w:r w:rsidR="0024411E">
              <w:rPr>
                <w:rFonts w:ascii="Times New Roman" w:hAnsi="Times New Roman"/>
              </w:rPr>
              <w:t>rgie renouvelable hors réseau).</w:t>
            </w:r>
          </w:p>
          <w:p w:rsidR="002A5AE4" w:rsidRPr="001F1343" w:rsidRDefault="002A5AE4" w:rsidP="00F544FD">
            <w:pPr>
              <w:tabs>
                <w:tab w:val="left" w:pos="4680"/>
              </w:tabs>
              <w:spacing w:after="0"/>
              <w:rPr>
                <w:rFonts w:ascii="Times New Roman" w:hAnsi="Times New Roman"/>
                <w:bCs/>
                <w:szCs w:val="22"/>
              </w:rPr>
            </w:pPr>
          </w:p>
          <w:p w:rsidR="002B3E67" w:rsidRPr="001F1343" w:rsidRDefault="00CA7034" w:rsidP="00F544FD">
            <w:pPr>
              <w:tabs>
                <w:tab w:val="left" w:pos="4680"/>
              </w:tabs>
              <w:spacing w:after="0"/>
              <w:rPr>
                <w:rFonts w:ascii="Times New Roman" w:hAnsi="Times New Roman"/>
                <w:bCs/>
                <w:szCs w:val="22"/>
              </w:rPr>
            </w:pPr>
            <w:r>
              <w:rPr>
                <w:rFonts w:ascii="Times New Roman" w:hAnsi="Times New Roman"/>
                <w:b/>
              </w:rPr>
              <w:t>Produits CP escomptés :</w:t>
            </w:r>
            <w:r>
              <w:rPr>
                <w:rFonts w:ascii="Times New Roman" w:hAnsi="Times New Roman"/>
              </w:rPr>
              <w:t xml:space="preserve"> (i) </w:t>
            </w:r>
            <w:r w:rsidR="00E56F6C">
              <w:rPr>
                <w:rFonts w:ascii="Times New Roman" w:hAnsi="Times New Roman"/>
              </w:rPr>
              <w:t>c</w:t>
            </w:r>
            <w:r>
              <w:rPr>
                <w:rFonts w:ascii="Times New Roman" w:hAnsi="Times New Roman"/>
              </w:rPr>
              <w:t xml:space="preserve">adre juridique et institutionnel permettant d'assurer une meilleure protection des ressources naturelles et (ii) </w:t>
            </w:r>
            <w:r w:rsidR="00E56F6C">
              <w:rPr>
                <w:rFonts w:ascii="Times New Roman" w:hAnsi="Times New Roman"/>
              </w:rPr>
              <w:t>r</w:t>
            </w:r>
            <w:r>
              <w:rPr>
                <w:rFonts w:ascii="Times New Roman" w:hAnsi="Times New Roman"/>
              </w:rPr>
              <w:t>enforcement de la couverture forestière.</w:t>
            </w:r>
          </w:p>
          <w:p w:rsidR="002B3E67" w:rsidRPr="001F1343" w:rsidRDefault="002B3E67" w:rsidP="00F544FD">
            <w:pPr>
              <w:tabs>
                <w:tab w:val="left" w:pos="4680"/>
              </w:tabs>
              <w:spacing w:after="0"/>
              <w:rPr>
                <w:rFonts w:ascii="Times New Roman" w:hAnsi="Times New Roman"/>
                <w:bCs/>
                <w:szCs w:val="22"/>
              </w:rPr>
            </w:pPr>
          </w:p>
          <w:p w:rsidR="00F544FD" w:rsidRPr="001F1343" w:rsidRDefault="00CA7034" w:rsidP="00E56F6C">
            <w:pPr>
              <w:tabs>
                <w:tab w:val="left" w:pos="4680"/>
              </w:tabs>
              <w:spacing w:after="0"/>
              <w:rPr>
                <w:rFonts w:ascii="Times New Roman" w:hAnsi="Times New Roman"/>
                <w:szCs w:val="22"/>
                <w:shd w:val="clear" w:color="000000" w:fill="auto"/>
              </w:rPr>
            </w:pPr>
            <w:r>
              <w:rPr>
                <w:rFonts w:ascii="Times New Roman" w:hAnsi="Times New Roman"/>
                <w:b/>
              </w:rPr>
              <w:t>Produits CPAP escomptés :</w:t>
            </w:r>
            <w:r>
              <w:rPr>
                <w:rFonts w:ascii="Times New Roman" w:hAnsi="Times New Roman"/>
              </w:rPr>
              <w:t xml:space="preserve"> (i) </w:t>
            </w:r>
            <w:r w:rsidR="00E56F6C">
              <w:rPr>
                <w:rFonts w:ascii="Times New Roman" w:hAnsi="Times New Roman"/>
              </w:rPr>
              <w:t>u</w:t>
            </w:r>
            <w:r>
              <w:rPr>
                <w:rFonts w:ascii="Times New Roman" w:hAnsi="Times New Roman"/>
              </w:rPr>
              <w:t xml:space="preserve">ne politique nationale de protection et de gestion durable de l'environnement est formulée, adoptée et mise en œuvre ; (ii) </w:t>
            </w:r>
            <w:r w:rsidR="00E56F6C">
              <w:rPr>
                <w:rFonts w:ascii="Times New Roman" w:hAnsi="Times New Roman"/>
              </w:rPr>
              <w:t>l</w:t>
            </w:r>
            <w:r>
              <w:rPr>
                <w:rFonts w:ascii="Times New Roman" w:hAnsi="Times New Roman"/>
              </w:rPr>
              <w:t xml:space="preserve">es meilleures pratiques et des technologies adaptées sont adoptées et diffusées ; et (iii) </w:t>
            </w:r>
            <w:r w:rsidR="00E56F6C">
              <w:rPr>
                <w:rFonts w:ascii="Times New Roman" w:hAnsi="Times New Roman"/>
              </w:rPr>
              <w:t>d</w:t>
            </w:r>
            <w:r>
              <w:rPr>
                <w:rFonts w:ascii="Times New Roman" w:hAnsi="Times New Roman"/>
              </w:rPr>
              <w:t>es plans de développement pour les zones de mangroves sont mis en place.</w:t>
            </w:r>
          </w:p>
        </w:tc>
      </w:tr>
      <w:tr w:rsidR="00B934BF" w:rsidRPr="001F1343" w:rsidTr="00626BAB">
        <w:trPr>
          <w:trHeight w:val="1365"/>
        </w:trPr>
        <w:tc>
          <w:tcPr>
            <w:tcW w:w="0" w:type="auto"/>
            <w:vAlign w:val="center"/>
          </w:tcPr>
          <w:p w:rsidR="00075C6B" w:rsidRPr="001F1343" w:rsidRDefault="00CA7034" w:rsidP="0089525B">
            <w:pPr>
              <w:tabs>
                <w:tab w:val="left" w:pos="4680"/>
              </w:tabs>
              <w:spacing w:after="0"/>
              <w:rPr>
                <w:rFonts w:ascii="Times New Roman" w:hAnsi="Times New Roman"/>
                <w:szCs w:val="22"/>
              </w:rPr>
            </w:pPr>
            <w:r>
              <w:rPr>
                <w:rFonts w:ascii="Times New Roman" w:hAnsi="Times New Roman"/>
                <w:b/>
              </w:rPr>
              <w:t xml:space="preserve">Entité d'exécution/Partenaire de mise en œuvre : </w:t>
            </w:r>
            <w:r>
              <w:rPr>
                <w:rFonts w:ascii="Times New Roman" w:hAnsi="Times New Roman"/>
              </w:rPr>
              <w:t>Ministère de l'Environnement, des Eaux et Forêts (MEEF).</w:t>
            </w:r>
          </w:p>
          <w:p w:rsidR="00BE366C" w:rsidRPr="001F1343" w:rsidRDefault="00BE366C" w:rsidP="0089525B">
            <w:pPr>
              <w:tabs>
                <w:tab w:val="left" w:pos="4680"/>
              </w:tabs>
              <w:spacing w:after="0"/>
              <w:rPr>
                <w:rFonts w:ascii="Times New Roman" w:hAnsi="Times New Roman"/>
                <w:szCs w:val="22"/>
              </w:rPr>
            </w:pPr>
          </w:p>
          <w:p w:rsidR="00BE366C" w:rsidRPr="001F1343" w:rsidRDefault="00CA7034" w:rsidP="0089525B">
            <w:pPr>
              <w:tabs>
                <w:tab w:val="left" w:pos="4680"/>
              </w:tabs>
              <w:spacing w:after="0"/>
              <w:rPr>
                <w:rFonts w:ascii="Times New Roman" w:hAnsi="Times New Roman"/>
                <w:iCs/>
                <w:szCs w:val="22"/>
              </w:rPr>
            </w:pPr>
            <w:r>
              <w:rPr>
                <w:rFonts w:ascii="Times New Roman" w:hAnsi="Times New Roman"/>
                <w:b/>
              </w:rPr>
              <w:t xml:space="preserve">Entité de mise en œuvre/Partenaires responsables : </w:t>
            </w:r>
            <w:r>
              <w:rPr>
                <w:rFonts w:ascii="Times New Roman" w:hAnsi="Times New Roman"/>
              </w:rPr>
              <w:t>Programme des Nations Unies pour le développement.</w:t>
            </w:r>
          </w:p>
        </w:tc>
      </w:tr>
      <w:tr w:rsidR="00B934BF" w:rsidRPr="001F1343" w:rsidTr="00626BAB">
        <w:tc>
          <w:tcPr>
            <w:tcW w:w="0" w:type="auto"/>
            <w:vAlign w:val="center"/>
          </w:tcPr>
          <w:p w:rsidR="00B934BF" w:rsidRPr="001F1343" w:rsidRDefault="00B934BF" w:rsidP="00626BAB">
            <w:pPr>
              <w:autoSpaceDE w:val="0"/>
              <w:autoSpaceDN w:val="0"/>
              <w:adjustRightInd w:val="0"/>
              <w:spacing w:after="0"/>
              <w:rPr>
                <w:rFonts w:ascii="Times New Roman" w:hAnsi="Times New Roman"/>
                <w:szCs w:val="22"/>
              </w:rPr>
            </w:pPr>
          </w:p>
        </w:tc>
      </w:tr>
      <w:tr w:rsidR="00B934BF" w:rsidRPr="001F1343" w:rsidTr="00626BAB">
        <w:trPr>
          <w:trHeight w:val="288"/>
        </w:trPr>
        <w:tc>
          <w:tcPr>
            <w:tcW w:w="0" w:type="auto"/>
            <w:vAlign w:val="center"/>
          </w:tcPr>
          <w:p w:rsidR="00075C6B" w:rsidRPr="001F1343" w:rsidRDefault="00075C6B" w:rsidP="002B3E67">
            <w:pPr>
              <w:tabs>
                <w:tab w:val="center" w:pos="4320"/>
                <w:tab w:val="right" w:pos="8640"/>
              </w:tabs>
              <w:spacing w:after="200"/>
              <w:rPr>
                <w:rFonts w:ascii="Times New Roman" w:hAnsi="Times New Roman"/>
                <w:b/>
                <w:bCs/>
                <w:szCs w:val="22"/>
              </w:rPr>
            </w:pPr>
          </w:p>
        </w:tc>
      </w:tr>
    </w:tbl>
    <w:p w:rsidR="00B934BF" w:rsidRPr="001F1343" w:rsidRDefault="00865A23" w:rsidP="00626BAB">
      <w:pPr>
        <w:tabs>
          <w:tab w:val="left" w:pos="4680"/>
        </w:tabs>
        <w:spacing w:after="0"/>
        <w:rPr>
          <w:rFonts w:ascii="Times New Roman" w:hAnsi="Times New Roman"/>
          <w:szCs w:val="22"/>
        </w:rPr>
      </w:pPr>
      <w:r>
        <w:rPr>
          <w:noProof/>
        </w:rPr>
        <w:lastRenderedPageBreak/>
        <mc:AlternateContent>
          <mc:Choice Requires="wps">
            <w:drawing>
              <wp:inline distT="0" distB="0" distL="0" distR="0">
                <wp:extent cx="6076950" cy="2964180"/>
                <wp:effectExtent l="0" t="0" r="19050" b="2667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64180"/>
                        </a:xfrm>
                        <a:prstGeom prst="rect">
                          <a:avLst/>
                        </a:prstGeom>
                        <a:solidFill>
                          <a:srgbClr val="FFFFFF"/>
                        </a:solidFill>
                        <a:ln w="9525">
                          <a:solidFill>
                            <a:srgbClr val="000000"/>
                          </a:solidFill>
                          <a:miter lim="800000"/>
                          <a:headEnd/>
                          <a:tailEnd/>
                        </a:ln>
                      </wps:spPr>
                      <wps:txbx>
                        <w:txbxContent>
                          <w:p w:rsidR="00F61709" w:rsidRPr="002130C2" w:rsidRDefault="00F61709" w:rsidP="00185146">
                            <w:pPr>
                              <w:rPr>
                                <w:rFonts w:ascii="Times New Roman" w:hAnsi="Times New Roman"/>
                                <w:bCs/>
                                <w:szCs w:val="22"/>
                              </w:rPr>
                            </w:pPr>
                            <w:r>
                              <w:rPr>
                                <w:rFonts w:ascii="Times New Roman" w:hAnsi="Times New Roman"/>
                                <w:b/>
                              </w:rPr>
                              <w:t xml:space="preserve">Brève description : </w:t>
                            </w:r>
                            <w:r>
                              <w:rPr>
                                <w:rFonts w:ascii="Times New Roman" w:hAnsi="Times New Roman"/>
                              </w:rPr>
                              <w:t>L'objectif du projet consiste à contribuer à la réduction de la croissance des émissions de GES liées à la consommation d'énergie à usage domestique. Il établira un marché viable et efficace pour la commercialisation et l'utilisation généralisées de technologies à base de biogaz en Guinée et il propose, pour ce faire, la création de 3 marchés distincts mais interconnectés. Le premier marché cible les digesteurs de format familial (au niveau des ménages) à petite échelle. Il sera principalement axé sur l'autoconsommation et la gestion des matières premières en interne ; cette catégorie se compose principalement de ménages agricoles élevant du bétail. Le second marché cible les digesteurs à grande échelle pour des applications institutionnelles, commerciales et industrielles présentant un besoin en chaleur et/ou électricité. Il s'agit encore principalement d'</w:t>
                            </w:r>
                            <w:r w:rsidR="00912D9F">
                              <w:rPr>
                                <w:rFonts w:ascii="Times New Roman" w:hAnsi="Times New Roman"/>
                              </w:rPr>
                              <w:t>auto consommateurs</w:t>
                            </w:r>
                            <w:r>
                              <w:rPr>
                                <w:rFonts w:ascii="Times New Roman" w:hAnsi="Times New Roman"/>
                              </w:rPr>
                              <w:t>, remplaçant les vecteurs d'énergie actuels (tels que le diesel ou le réseau d'électricité) par une alternative plus propre et moins onéreuse dans leur processus commercial. Enfin, le projet s'adressera au marché intérieur à des fins de fabrication et d'installation de digesteurs.</w:t>
                            </w:r>
                          </w:p>
                          <w:p w:rsidR="00F61709" w:rsidRDefault="00F61709" w:rsidP="00A94871">
                            <w:pPr>
                              <w:rPr>
                                <w:rFonts w:ascii="Times New Roman" w:hAnsi="Times New Roman"/>
                                <w:szCs w:val="22"/>
                              </w:rPr>
                            </w:pPr>
                            <w:r>
                              <w:rPr>
                                <w:rFonts w:ascii="Times New Roman" w:hAnsi="Times New Roman"/>
                              </w:rPr>
                              <w:t>Le projet mobilisera des millions lors de sa période de mise en œuvre de 4 ans, ce qui, en retour, devrait générer des bénéfices mondiaux directs de 161 100 tCO</w:t>
                            </w:r>
                            <w:r>
                              <w:rPr>
                                <w:rFonts w:ascii="Times New Roman" w:hAnsi="Times New Roman"/>
                                <w:vertAlign w:val="subscript"/>
                              </w:rPr>
                              <w:t>2</w:t>
                            </w:r>
                            <w:r>
                              <w:rPr>
                                <w:rFonts w:ascii="Times New Roman" w:hAnsi="Times New Roman"/>
                              </w:rPr>
                              <w:t>, soit 16,4 $ de fonds du FEM par tCO</w:t>
                            </w:r>
                            <w:r>
                              <w:rPr>
                                <w:rFonts w:ascii="Times New Roman" w:hAnsi="Times New Roman"/>
                                <w:vertAlign w:val="subscript"/>
                              </w:rPr>
                              <w:t>2</w:t>
                            </w:r>
                            <w:r>
                              <w:rPr>
                                <w:rFonts w:ascii="Times New Roman" w:hAnsi="Times New Roman"/>
                              </w:rPr>
                              <w:t>. Le projet atteindra cet objectif en introduisant un cadre règlementaire favorable et en définissant un mécanisme de soutien financier, deux facteurs qui faciliteront la participation des ménages individuels et du secteur privé au développement et à l'utilisation du biogaz dans le pays.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478.5pt;height:2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">
                <v:textbox>
                  <w:txbxContent>
                    <w:p w:rsidR="00F61709" w:rsidRPr="002130C2" w:rsidRDefault="00F61709" w:rsidP="00185146">
                      <w:pPr>
                        <w:rPr>
                          <w:rFonts w:ascii="Times New Roman" w:hAnsi="Times New Roman"/>
                          <w:bCs/>
                          <w:szCs w:val="22"/>
                        </w:rPr>
                      </w:pPr>
                      <w:r>
                        <w:rPr>
                          <w:rFonts w:ascii="Times New Roman" w:hAnsi="Times New Roman"/>
                          <w:b/>
                        </w:rPr>
                        <w:t xml:space="preserve">Brève description : </w:t>
                      </w:r>
                      <w:r>
                        <w:rPr>
                          <w:rFonts w:ascii="Times New Roman" w:hAnsi="Times New Roman"/>
                        </w:rPr>
                        <w:t>L'objectif du projet consiste à contribuer à la réduction de la croissance des émissions de GES liées à la consommation d'énergie à usage domestique. Il établira un marché viable et efficace pour la commercialisation et l'utilisation généralisées de technologies à base de biogaz en Guinée et il propose, pour ce faire, la création de 3 marchés distincts mais interconnectés. Le premier marché cible les digesteurs de format familial (au niveau des ménages) à petite échelle. Il sera principalement axé sur l'autoconsommation et la gestion des matières premières en interne ; cette catégorie se compose principalement de ménages agricoles élevant du bétail. Le second marché cible les digesteurs à grande échelle pour des applications institutionnelles, commerciales et industrielles présentant un besoin en chaleur et/ou électricité. Il s'agit encore principalement d'</w:t>
                      </w:r>
                      <w:r w:rsidR="00912D9F">
                        <w:rPr>
                          <w:rFonts w:ascii="Times New Roman" w:hAnsi="Times New Roman"/>
                        </w:rPr>
                        <w:t>auto consommateurs</w:t>
                      </w:r>
                      <w:r>
                        <w:rPr>
                          <w:rFonts w:ascii="Times New Roman" w:hAnsi="Times New Roman"/>
                        </w:rPr>
                        <w:t>, remplaçant les vecteurs d'énergie actuels (tels que le diesel ou le réseau d'électricité) par une alternative plus propre et moins onéreuse dans leur processus commercial. Enfin, le projet s'adressera au marché intérieur à des fins de fabrication et d'installation de digesteurs.</w:t>
                      </w:r>
                    </w:p>
                    <w:p w:rsidR="00F61709" w:rsidRDefault="00F61709" w:rsidP="00A94871">
                      <w:pPr>
                        <w:rPr>
                          <w:rFonts w:ascii="Times New Roman" w:hAnsi="Times New Roman"/>
                          <w:szCs w:val="22"/>
                        </w:rPr>
                      </w:pPr>
                      <w:r>
                        <w:rPr>
                          <w:rFonts w:ascii="Times New Roman" w:hAnsi="Times New Roman"/>
                        </w:rPr>
                        <w:t>Le projet mobilisera des millions lors de sa période de mise en œuvre de 4 ans, ce qui, en retour, devrait générer des bénéfices mondiaux directs de 161 100 tCO</w:t>
                      </w:r>
                      <w:r>
                        <w:rPr>
                          <w:rFonts w:ascii="Times New Roman" w:hAnsi="Times New Roman"/>
                          <w:vertAlign w:val="subscript"/>
                        </w:rPr>
                        <w:t>2</w:t>
                      </w:r>
                      <w:r>
                        <w:rPr>
                          <w:rFonts w:ascii="Times New Roman" w:hAnsi="Times New Roman"/>
                        </w:rPr>
                        <w:t>, soit 16,4 $ de fonds du FEM par tCO</w:t>
                      </w:r>
                      <w:r>
                        <w:rPr>
                          <w:rFonts w:ascii="Times New Roman" w:hAnsi="Times New Roman"/>
                          <w:vertAlign w:val="subscript"/>
                        </w:rPr>
                        <w:t>2</w:t>
                      </w:r>
                      <w:r>
                        <w:rPr>
                          <w:rFonts w:ascii="Times New Roman" w:hAnsi="Times New Roman"/>
                        </w:rPr>
                        <w:t>. Le projet atteindra cet objectif en introduisant un cadre règlementaire favorable et en définissant un mécanisme de soutien financier, deux facteurs qui faciliteront la participation des ménages individuels et du secteur privé au développement et à l'utilisation du biogaz dans le pays.</w:t>
                      </w:r>
                    </w:p>
                  </w:txbxContent>
                </v:textbox>
                <w10:anchorlock/>
              </v:shape>
            </w:pict>
          </mc:Fallback>
        </mc:AlternateContent>
      </w:r>
    </w:p>
    <w:p w:rsidR="00626054" w:rsidRPr="001F1343" w:rsidRDefault="00626054" w:rsidP="00B934BF">
      <w:pPr>
        <w:pBdr>
          <w:bottom w:val="single" w:sz="4" w:space="1" w:color="auto"/>
        </w:pBdr>
        <w:rPr>
          <w:rFonts w:ascii="Times New Roman" w:hAnsi="Times New Roman"/>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283"/>
        <w:gridCol w:w="3340"/>
        <w:gridCol w:w="1622"/>
      </w:tblGrid>
      <w:tr w:rsidR="00080148" w:rsidRPr="001F1343" w:rsidTr="00A47585">
        <w:trPr>
          <w:jc w:val="center"/>
        </w:trPr>
        <w:tc>
          <w:tcPr>
            <w:tcW w:w="5382" w:type="dxa"/>
          </w:tcPr>
          <w:p w:rsidR="00080148" w:rsidRPr="001F1343" w:rsidRDefault="00CA7034" w:rsidP="00A47585">
            <w:pPr>
              <w:spacing w:after="0"/>
              <w:rPr>
                <w:rFonts w:ascii="Times New Roman" w:hAnsi="Times New Roman"/>
                <w:szCs w:val="22"/>
              </w:rPr>
            </w:pPr>
            <w:r>
              <w:rPr>
                <w:rFonts w:ascii="Times New Roman" w:hAnsi="Times New Roman"/>
              </w:rPr>
              <w:t>Période du programme :</w:t>
            </w:r>
            <w:r w:rsidR="000E6CB0">
              <w:rPr>
                <w:rFonts w:ascii="Times New Roman" w:hAnsi="Times New Roman"/>
              </w:rPr>
              <w:tab/>
            </w:r>
            <w:r w:rsidR="000E6CB0">
              <w:rPr>
                <w:rFonts w:ascii="Times New Roman" w:hAnsi="Times New Roman"/>
              </w:rPr>
              <w:tab/>
            </w:r>
            <w:r>
              <w:rPr>
                <w:rFonts w:ascii="Times New Roman" w:hAnsi="Times New Roman"/>
              </w:rPr>
              <w:t>2011-2015</w:t>
            </w:r>
          </w:p>
          <w:p w:rsidR="00080148" w:rsidRPr="001F1343" w:rsidRDefault="00CA7034" w:rsidP="00A47585">
            <w:pPr>
              <w:spacing w:after="0"/>
              <w:rPr>
                <w:rFonts w:ascii="Times New Roman" w:hAnsi="Times New Roman"/>
                <w:szCs w:val="22"/>
              </w:rPr>
            </w:pPr>
            <w:r>
              <w:rPr>
                <w:rFonts w:ascii="Times New Roman" w:hAnsi="Times New Roman"/>
              </w:rPr>
              <w:t>ID Atlas Award :</w:t>
            </w:r>
            <w:r>
              <w:rPr>
                <w:rFonts w:ascii="Times New Roman" w:hAnsi="Times New Roman"/>
              </w:rPr>
              <w:tab/>
            </w:r>
            <w:r>
              <w:rPr>
                <w:rFonts w:ascii="Times New Roman" w:hAnsi="Times New Roman"/>
              </w:rPr>
              <w:tab/>
              <w:t>00086969</w:t>
            </w:r>
          </w:p>
          <w:p w:rsidR="00080148" w:rsidRPr="001F1343" w:rsidRDefault="00CA7034" w:rsidP="00A47585">
            <w:pPr>
              <w:spacing w:after="0"/>
              <w:rPr>
                <w:rFonts w:ascii="Times New Roman" w:hAnsi="Times New Roman"/>
                <w:szCs w:val="22"/>
              </w:rPr>
            </w:pPr>
            <w:r>
              <w:rPr>
                <w:rFonts w:ascii="Times New Roman" w:hAnsi="Times New Roman"/>
              </w:rPr>
              <w:t>ID projet :</w:t>
            </w:r>
            <w:r>
              <w:rPr>
                <w:rFonts w:ascii="Times New Roman" w:hAnsi="Times New Roman"/>
              </w:rPr>
              <w:tab/>
            </w:r>
            <w:r>
              <w:rPr>
                <w:rFonts w:ascii="Times New Roman" w:hAnsi="Times New Roman"/>
              </w:rPr>
              <w:tab/>
            </w:r>
            <w:r>
              <w:rPr>
                <w:rFonts w:ascii="Times New Roman" w:hAnsi="Times New Roman"/>
              </w:rPr>
              <w:tab/>
              <w:t>00094115</w:t>
            </w:r>
          </w:p>
          <w:p w:rsidR="00080148" w:rsidRPr="001F1343" w:rsidRDefault="00CA7034" w:rsidP="00A47585">
            <w:pPr>
              <w:pStyle w:val="Notedebasdepage"/>
              <w:spacing w:after="0"/>
              <w:rPr>
                <w:rFonts w:ascii="Times New Roman" w:hAnsi="Times New Roman"/>
                <w:szCs w:val="22"/>
              </w:rPr>
            </w:pPr>
            <w:r>
              <w:rPr>
                <w:rFonts w:ascii="Times New Roman" w:hAnsi="Times New Roman"/>
              </w:rPr>
              <w:t>PIMS nº</w:t>
            </w:r>
            <w:r>
              <w:rPr>
                <w:rFonts w:ascii="Times New Roman" w:hAnsi="Times New Roman"/>
              </w:rPr>
              <w:tab/>
            </w:r>
            <w:r>
              <w:rPr>
                <w:rFonts w:ascii="Times New Roman" w:hAnsi="Times New Roman"/>
              </w:rPr>
              <w:tab/>
            </w:r>
            <w:r>
              <w:rPr>
                <w:rFonts w:ascii="Times New Roman" w:hAnsi="Times New Roman"/>
              </w:rPr>
              <w:tab/>
              <w:t>4780</w:t>
            </w:r>
          </w:p>
          <w:p w:rsidR="00080148" w:rsidRPr="001F1343" w:rsidRDefault="00CA7034" w:rsidP="00D009E4">
            <w:pPr>
              <w:pStyle w:val="Notedebasdepage"/>
              <w:spacing w:after="0"/>
              <w:rPr>
                <w:rFonts w:ascii="Times New Roman" w:hAnsi="Times New Roman"/>
                <w:szCs w:val="22"/>
              </w:rPr>
            </w:pPr>
            <w:r>
              <w:rPr>
                <w:rFonts w:ascii="Times New Roman" w:hAnsi="Times New Roman"/>
              </w:rPr>
              <w:t>Date de début :</w:t>
            </w:r>
            <w:r>
              <w:rPr>
                <w:rFonts w:ascii="Times New Roman" w:hAnsi="Times New Roman"/>
              </w:rPr>
              <w:tab/>
            </w:r>
            <w:r>
              <w:rPr>
                <w:rFonts w:ascii="Times New Roman" w:hAnsi="Times New Roman"/>
              </w:rPr>
              <w:tab/>
            </w:r>
            <w:r>
              <w:rPr>
                <w:rFonts w:ascii="Times New Roman" w:hAnsi="Times New Roman"/>
              </w:rPr>
              <w:tab/>
              <w:t>janvier 2016</w:t>
            </w:r>
          </w:p>
          <w:p w:rsidR="00080148" w:rsidRPr="001F1343" w:rsidRDefault="00CA7034" w:rsidP="00D009E4">
            <w:pPr>
              <w:pStyle w:val="Notedebasdepage"/>
              <w:spacing w:after="0"/>
              <w:rPr>
                <w:rFonts w:ascii="Times New Roman" w:hAnsi="Times New Roman"/>
                <w:szCs w:val="22"/>
              </w:rPr>
            </w:pPr>
            <w:r>
              <w:rPr>
                <w:rFonts w:ascii="Times New Roman" w:hAnsi="Times New Roman"/>
              </w:rPr>
              <w:t>Date de fin :</w:t>
            </w:r>
            <w:r>
              <w:rPr>
                <w:rFonts w:ascii="Times New Roman" w:hAnsi="Times New Roman"/>
              </w:rPr>
              <w:tab/>
            </w:r>
            <w:r>
              <w:rPr>
                <w:rFonts w:ascii="Times New Roman" w:hAnsi="Times New Roman"/>
              </w:rPr>
              <w:tab/>
            </w:r>
            <w:r>
              <w:rPr>
                <w:rFonts w:ascii="Times New Roman" w:hAnsi="Times New Roman"/>
              </w:rPr>
              <w:tab/>
              <w:t>décembre 201</w:t>
            </w:r>
            <w:r w:rsidR="0002487B">
              <w:rPr>
                <w:rFonts w:ascii="Times New Roman" w:hAnsi="Times New Roman"/>
              </w:rPr>
              <w:t>9</w:t>
            </w:r>
            <w:r>
              <w:rPr>
                <w:rFonts w:ascii="Times New Roman" w:hAnsi="Times New Roman"/>
              </w:rPr>
              <w:t xml:space="preserve"> </w:t>
            </w:r>
          </w:p>
          <w:p w:rsidR="00080148" w:rsidRPr="001F1343" w:rsidRDefault="00CA7034" w:rsidP="00A47585">
            <w:pPr>
              <w:pStyle w:val="Notedebasdepage"/>
              <w:spacing w:after="0"/>
              <w:rPr>
                <w:rFonts w:ascii="Times New Roman" w:hAnsi="Times New Roman"/>
                <w:szCs w:val="22"/>
              </w:rPr>
            </w:pPr>
            <w:r>
              <w:rPr>
                <w:rFonts w:ascii="Times New Roman" w:hAnsi="Times New Roman"/>
              </w:rPr>
              <w:t>Dispositifs de gestion :</w:t>
            </w:r>
            <w:r>
              <w:rPr>
                <w:rFonts w:ascii="Times New Roman" w:hAnsi="Times New Roman"/>
              </w:rPr>
              <w:tab/>
            </w:r>
            <w:r w:rsidR="0024411E">
              <w:rPr>
                <w:rFonts w:ascii="Times New Roman" w:hAnsi="Times New Roman"/>
              </w:rPr>
              <w:tab/>
            </w:r>
            <w:r>
              <w:rPr>
                <w:rFonts w:ascii="Times New Roman" w:hAnsi="Times New Roman"/>
              </w:rPr>
              <w:t>NIM</w:t>
            </w:r>
          </w:p>
          <w:p w:rsidR="00080148" w:rsidRPr="001F1343" w:rsidRDefault="0024411E" w:rsidP="00A47585">
            <w:pPr>
              <w:pStyle w:val="Notedebasdepage"/>
              <w:spacing w:after="0"/>
              <w:rPr>
                <w:rFonts w:ascii="Times New Roman" w:hAnsi="Times New Roman"/>
                <w:szCs w:val="22"/>
              </w:rPr>
            </w:pPr>
            <w:r>
              <w:rPr>
                <w:rFonts w:ascii="Times New Roman" w:hAnsi="Times New Roman"/>
              </w:rPr>
              <w:t>Date de la réunion PAC :</w:t>
            </w:r>
            <w:r>
              <w:rPr>
                <w:rFonts w:ascii="Times New Roman" w:hAnsi="Times New Roman"/>
              </w:rPr>
              <w:tab/>
            </w:r>
            <w:r w:rsidR="00AE708E">
              <w:rPr>
                <w:rFonts w:ascii="Times New Roman" w:hAnsi="Times New Roman"/>
              </w:rPr>
              <w:t>15 juillet 2015</w:t>
            </w:r>
          </w:p>
          <w:p w:rsidR="00080148" w:rsidRPr="001F1343" w:rsidRDefault="00080148" w:rsidP="00A47585">
            <w:pPr>
              <w:tabs>
                <w:tab w:val="center" w:pos="4320"/>
                <w:tab w:val="right" w:pos="8640"/>
              </w:tabs>
              <w:rPr>
                <w:rFonts w:cs="Arial"/>
                <w:sz w:val="16"/>
                <w:szCs w:val="16"/>
              </w:rPr>
            </w:pPr>
          </w:p>
          <w:p w:rsidR="00080148" w:rsidRPr="001F1343" w:rsidRDefault="00CA7034" w:rsidP="00A47585">
            <w:pPr>
              <w:tabs>
                <w:tab w:val="center" w:pos="4320"/>
                <w:tab w:val="right" w:pos="8640"/>
              </w:tabs>
              <w:rPr>
                <w:rFonts w:cs="Arial"/>
                <w:sz w:val="18"/>
                <w:szCs w:val="18"/>
              </w:rPr>
            </w:pPr>
            <w:r>
              <w:rPr>
                <w:sz w:val="16"/>
              </w:rPr>
              <w:tab/>
            </w:r>
            <w:r>
              <w:rPr>
                <w:sz w:val="16"/>
              </w:rPr>
              <w:tab/>
            </w:r>
          </w:p>
        </w:tc>
        <w:tc>
          <w:tcPr>
            <w:tcW w:w="283" w:type="dxa"/>
            <w:tcBorders>
              <w:top w:val="nil"/>
              <w:bottom w:val="nil"/>
            </w:tcBorders>
          </w:tcPr>
          <w:p w:rsidR="00080148" w:rsidRPr="001F1343" w:rsidRDefault="00080148" w:rsidP="00A47585">
            <w:pPr>
              <w:tabs>
                <w:tab w:val="center" w:pos="4320"/>
                <w:tab w:val="right" w:pos="8640"/>
              </w:tabs>
              <w:rPr>
                <w:rFonts w:cs="Arial"/>
                <w:sz w:val="18"/>
                <w:szCs w:val="18"/>
              </w:rPr>
            </w:pPr>
          </w:p>
        </w:tc>
        <w:tc>
          <w:tcPr>
            <w:tcW w:w="3340" w:type="dxa"/>
            <w:tcBorders>
              <w:right w:val="nil"/>
            </w:tcBorders>
          </w:tcPr>
          <w:p w:rsidR="00080148" w:rsidRPr="001F1343" w:rsidRDefault="00CA7034" w:rsidP="00A47585">
            <w:pPr>
              <w:tabs>
                <w:tab w:val="left" w:pos="3808"/>
                <w:tab w:val="center" w:pos="4320"/>
                <w:tab w:val="left" w:pos="4687"/>
                <w:tab w:val="right" w:pos="8640"/>
              </w:tabs>
              <w:rPr>
                <w:rFonts w:cs="Arial"/>
                <w:sz w:val="18"/>
                <w:szCs w:val="18"/>
              </w:rPr>
            </w:pPr>
            <w:r>
              <w:rPr>
                <w:i/>
                <w:sz w:val="18"/>
              </w:rPr>
              <w:t>Ressources totales requises (fonds totaux du projet)</w:t>
            </w:r>
            <w:r w:rsidR="000E6CB0">
              <w:rPr>
                <w:sz w:val="18"/>
              </w:rPr>
              <w:t xml:space="preserve">   </w:t>
            </w:r>
          </w:p>
          <w:p w:rsidR="00080148" w:rsidRPr="001F1343" w:rsidRDefault="000E6CB0" w:rsidP="00A47585">
            <w:pPr>
              <w:tabs>
                <w:tab w:val="center" w:pos="4320"/>
                <w:tab w:val="right" w:pos="8640"/>
              </w:tabs>
              <w:rPr>
                <w:rFonts w:cs="Arial"/>
                <w:b/>
                <w:sz w:val="18"/>
                <w:szCs w:val="18"/>
              </w:rPr>
            </w:pPr>
            <w:r>
              <w:rPr>
                <w:b/>
                <w:sz w:val="18"/>
              </w:rPr>
              <w:t xml:space="preserve">   </w:t>
            </w:r>
          </w:p>
          <w:p w:rsidR="00080148" w:rsidRPr="001F1343" w:rsidRDefault="00CA7034" w:rsidP="000C4537">
            <w:pPr>
              <w:pStyle w:val="ColorfulList-Accent11"/>
              <w:numPr>
                <w:ilvl w:val="0"/>
                <w:numId w:val="14"/>
              </w:numPr>
              <w:contextualSpacing/>
              <w:rPr>
                <w:rFonts w:ascii="Arial" w:hAnsi="Arial" w:cs="Arial"/>
                <w:sz w:val="18"/>
                <w:szCs w:val="18"/>
              </w:rPr>
            </w:pPr>
            <w:r>
              <w:rPr>
                <w:rFonts w:ascii="Arial" w:hAnsi="Arial"/>
                <w:sz w:val="18"/>
              </w:rPr>
              <w:t>Ordinaires (MCARB du PNUD)</w:t>
            </w:r>
            <w:r>
              <w:rPr>
                <w:rFonts w:ascii="Arial" w:hAnsi="Arial"/>
                <w:sz w:val="18"/>
              </w:rPr>
              <w:tab/>
            </w:r>
            <w:r w:rsidR="000E6CB0">
              <w:rPr>
                <w:rFonts w:ascii="Arial" w:hAnsi="Arial"/>
                <w:sz w:val="18"/>
              </w:rPr>
              <w:t xml:space="preserve">                  </w:t>
            </w:r>
          </w:p>
          <w:p w:rsidR="00080148" w:rsidRPr="001F1343" w:rsidRDefault="00CA7034" w:rsidP="000C4537">
            <w:pPr>
              <w:pStyle w:val="ColorfulList-Accent11"/>
              <w:numPr>
                <w:ilvl w:val="0"/>
                <w:numId w:val="14"/>
              </w:numPr>
              <w:contextualSpacing/>
              <w:rPr>
                <w:rFonts w:ascii="Arial" w:hAnsi="Arial" w:cs="Arial"/>
                <w:sz w:val="18"/>
                <w:szCs w:val="18"/>
              </w:rPr>
            </w:pPr>
            <w:r>
              <w:rPr>
                <w:rFonts w:ascii="Arial" w:hAnsi="Arial"/>
                <w:sz w:val="18"/>
              </w:rPr>
              <w:t>FEM</w:t>
            </w:r>
            <w:r w:rsidR="000E6CB0">
              <w:rPr>
                <w:rFonts w:ascii="Arial" w:hAnsi="Arial"/>
                <w:sz w:val="18"/>
              </w:rPr>
              <w:t xml:space="preserve">                                  </w:t>
            </w:r>
          </w:p>
          <w:p w:rsidR="00080148" w:rsidRPr="001F1343" w:rsidRDefault="00CA7034" w:rsidP="00A47585">
            <w:pPr>
              <w:tabs>
                <w:tab w:val="center" w:pos="4320"/>
                <w:tab w:val="right" w:pos="8640"/>
              </w:tabs>
              <w:rPr>
                <w:rFonts w:cs="Arial"/>
                <w:sz w:val="18"/>
                <w:szCs w:val="18"/>
              </w:rPr>
            </w:pPr>
            <w:r>
              <w:rPr>
                <w:sz w:val="18"/>
              </w:rPr>
              <w:t>Autres (sources gérées par les partenaires)</w:t>
            </w:r>
          </w:p>
          <w:p w:rsidR="00080148" w:rsidRPr="001F1343" w:rsidRDefault="00CA7034" w:rsidP="000C4537">
            <w:pPr>
              <w:numPr>
                <w:ilvl w:val="0"/>
                <w:numId w:val="13"/>
              </w:numPr>
              <w:spacing w:after="0"/>
              <w:jc w:val="left"/>
              <w:rPr>
                <w:rFonts w:cs="Arial"/>
                <w:sz w:val="18"/>
                <w:szCs w:val="18"/>
              </w:rPr>
            </w:pPr>
            <w:r>
              <w:rPr>
                <w:sz w:val="18"/>
              </w:rPr>
              <w:t>Secteur privé (espèces)</w:t>
            </w:r>
          </w:p>
          <w:p w:rsidR="00080148" w:rsidRPr="001F1343" w:rsidRDefault="00CA7034" w:rsidP="000C4537">
            <w:pPr>
              <w:numPr>
                <w:ilvl w:val="0"/>
                <w:numId w:val="13"/>
              </w:numPr>
              <w:spacing w:after="0"/>
              <w:jc w:val="left"/>
              <w:rPr>
                <w:rFonts w:cs="Arial"/>
                <w:sz w:val="18"/>
                <w:szCs w:val="18"/>
              </w:rPr>
            </w:pPr>
            <w:r>
              <w:rPr>
                <w:sz w:val="18"/>
              </w:rPr>
              <w:t>Gouvernement (en nature/espèces)</w:t>
            </w:r>
            <w:r>
              <w:rPr>
                <w:sz w:val="18"/>
              </w:rPr>
              <w:tab/>
            </w:r>
          </w:p>
          <w:p w:rsidR="00080148" w:rsidRPr="001F1343" w:rsidRDefault="00CA7034" w:rsidP="000C4537">
            <w:pPr>
              <w:numPr>
                <w:ilvl w:val="0"/>
                <w:numId w:val="13"/>
              </w:numPr>
              <w:spacing w:after="0"/>
              <w:jc w:val="left"/>
              <w:rPr>
                <w:rFonts w:cs="Arial"/>
                <w:sz w:val="18"/>
                <w:szCs w:val="18"/>
              </w:rPr>
            </w:pPr>
            <w:r>
              <w:rPr>
                <w:sz w:val="18"/>
              </w:rPr>
              <w:t>Gouvernement (PRONIASE)</w:t>
            </w:r>
          </w:p>
          <w:p w:rsidR="00080148" w:rsidRPr="001F1343" w:rsidRDefault="00CA7034" w:rsidP="000C4537">
            <w:pPr>
              <w:numPr>
                <w:ilvl w:val="0"/>
                <w:numId w:val="13"/>
              </w:numPr>
              <w:spacing w:after="0"/>
              <w:jc w:val="left"/>
              <w:rPr>
                <w:rFonts w:cs="Arial"/>
                <w:sz w:val="18"/>
                <w:szCs w:val="18"/>
              </w:rPr>
            </w:pPr>
            <w:r>
              <w:rPr>
                <w:sz w:val="18"/>
              </w:rPr>
              <w:t>CERESCOR/Université</w:t>
            </w:r>
            <w:r w:rsidR="000E6CB0">
              <w:rPr>
                <w:sz w:val="18"/>
              </w:rPr>
              <w:t xml:space="preserve">               </w:t>
            </w:r>
            <w:r>
              <w:rPr>
                <w:sz w:val="18"/>
              </w:rPr>
              <w:t xml:space="preserve"> </w:t>
            </w:r>
          </w:p>
          <w:p w:rsidR="00080148" w:rsidRPr="001F1343" w:rsidRDefault="00080148" w:rsidP="002618CE">
            <w:pPr>
              <w:spacing w:after="0"/>
              <w:ind w:left="360"/>
              <w:jc w:val="left"/>
              <w:rPr>
                <w:rFonts w:cs="Arial"/>
                <w:sz w:val="18"/>
                <w:szCs w:val="18"/>
              </w:rPr>
            </w:pPr>
          </w:p>
        </w:tc>
        <w:tc>
          <w:tcPr>
            <w:tcW w:w="1622" w:type="dxa"/>
            <w:tcBorders>
              <w:left w:val="nil"/>
            </w:tcBorders>
          </w:tcPr>
          <w:p w:rsidR="00080148" w:rsidRPr="001F1343" w:rsidRDefault="00CA7034" w:rsidP="00A47585">
            <w:pPr>
              <w:tabs>
                <w:tab w:val="center" w:pos="4320"/>
                <w:tab w:val="right" w:pos="8640"/>
              </w:tabs>
              <w:jc w:val="right"/>
              <w:rPr>
                <w:rFonts w:cs="Arial"/>
                <w:b/>
                <w:bCs/>
                <w:sz w:val="18"/>
                <w:szCs w:val="18"/>
              </w:rPr>
            </w:pPr>
            <w:r>
              <w:rPr>
                <w:b/>
                <w:sz w:val="18"/>
              </w:rPr>
              <w:t>13 647 706 $</w:t>
            </w:r>
          </w:p>
          <w:p w:rsidR="00080148" w:rsidRPr="001F1343" w:rsidRDefault="00080148" w:rsidP="00A47585">
            <w:pPr>
              <w:tabs>
                <w:tab w:val="center" w:pos="4320"/>
                <w:tab w:val="right" w:pos="8640"/>
              </w:tabs>
              <w:jc w:val="right"/>
              <w:rPr>
                <w:rFonts w:cs="Arial"/>
                <w:sz w:val="18"/>
                <w:szCs w:val="18"/>
              </w:rPr>
            </w:pPr>
          </w:p>
          <w:p w:rsidR="00080148" w:rsidRPr="001F1343" w:rsidRDefault="00080148" w:rsidP="00A47585">
            <w:pPr>
              <w:tabs>
                <w:tab w:val="center" w:pos="4320"/>
                <w:tab w:val="right" w:pos="8640"/>
              </w:tabs>
              <w:jc w:val="right"/>
              <w:rPr>
                <w:rFonts w:cs="Arial"/>
                <w:sz w:val="18"/>
                <w:szCs w:val="18"/>
              </w:rPr>
            </w:pPr>
          </w:p>
          <w:p w:rsidR="00080148" w:rsidRPr="001F1343" w:rsidRDefault="000E6CB0" w:rsidP="00A47585">
            <w:pPr>
              <w:tabs>
                <w:tab w:val="center" w:pos="4320"/>
                <w:tab w:val="right" w:pos="8640"/>
              </w:tabs>
              <w:jc w:val="right"/>
              <w:rPr>
                <w:rFonts w:cs="Arial"/>
                <w:b/>
                <w:bCs/>
                <w:i/>
                <w:iCs/>
                <w:caps/>
                <w:sz w:val="18"/>
                <w:szCs w:val="18"/>
                <w:u w:val="single"/>
              </w:rPr>
            </w:pPr>
            <w:r>
              <w:rPr>
                <w:sz w:val="18"/>
              </w:rPr>
              <w:t xml:space="preserve"> </w:t>
            </w:r>
            <w:r w:rsidR="00CA7034">
              <w:rPr>
                <w:sz w:val="18"/>
              </w:rPr>
              <w:t>500 000 $</w:t>
            </w:r>
          </w:p>
          <w:p w:rsidR="00080148" w:rsidRPr="001F1343" w:rsidRDefault="00CA7034" w:rsidP="00A47585">
            <w:pPr>
              <w:tabs>
                <w:tab w:val="center" w:pos="4320"/>
                <w:tab w:val="right" w:pos="8640"/>
              </w:tabs>
              <w:jc w:val="right"/>
              <w:rPr>
                <w:rFonts w:cs="Arial"/>
                <w:b/>
                <w:bCs/>
                <w:i/>
                <w:iCs/>
                <w:caps/>
                <w:sz w:val="18"/>
                <w:szCs w:val="18"/>
                <w:u w:val="single"/>
              </w:rPr>
            </w:pPr>
            <w:r>
              <w:rPr>
                <w:sz w:val="18"/>
              </w:rPr>
              <w:t>2 647 706 $</w:t>
            </w:r>
          </w:p>
          <w:p w:rsidR="00080148" w:rsidRPr="001F1343" w:rsidRDefault="00CA7034" w:rsidP="00A47585">
            <w:pPr>
              <w:tabs>
                <w:tab w:val="center" w:pos="4320"/>
                <w:tab w:val="right" w:pos="8640"/>
              </w:tabs>
              <w:jc w:val="right"/>
              <w:rPr>
                <w:rFonts w:cs="Arial"/>
                <w:sz w:val="18"/>
                <w:szCs w:val="18"/>
              </w:rPr>
            </w:pPr>
            <w:r>
              <w:rPr>
                <w:sz w:val="18"/>
              </w:rPr>
              <w:t>1 500 000 $</w:t>
            </w:r>
          </w:p>
          <w:p w:rsidR="00080148" w:rsidRPr="001F1343" w:rsidRDefault="00CA7034" w:rsidP="00A47585">
            <w:pPr>
              <w:tabs>
                <w:tab w:val="center" w:pos="4320"/>
                <w:tab w:val="right" w:pos="8640"/>
              </w:tabs>
              <w:jc w:val="right"/>
              <w:rPr>
                <w:rFonts w:cs="Arial"/>
                <w:b/>
                <w:bCs/>
                <w:i/>
                <w:iCs/>
                <w:caps/>
                <w:sz w:val="18"/>
                <w:szCs w:val="18"/>
                <w:u w:val="single"/>
              </w:rPr>
            </w:pPr>
            <w:r>
              <w:rPr>
                <w:sz w:val="18"/>
              </w:rPr>
              <w:t>500 000 $</w:t>
            </w:r>
          </w:p>
          <w:p w:rsidR="00080148" w:rsidRPr="001F1343" w:rsidRDefault="00CA7034" w:rsidP="00A47585">
            <w:pPr>
              <w:tabs>
                <w:tab w:val="center" w:pos="4320"/>
                <w:tab w:val="right" w:pos="8640"/>
              </w:tabs>
              <w:jc w:val="right"/>
              <w:rPr>
                <w:rFonts w:cs="Arial"/>
                <w:sz w:val="18"/>
                <w:szCs w:val="18"/>
              </w:rPr>
            </w:pPr>
            <w:r>
              <w:rPr>
                <w:sz w:val="18"/>
              </w:rPr>
              <w:t>7 500 000 $</w:t>
            </w:r>
          </w:p>
          <w:p w:rsidR="00080148" w:rsidRPr="001F1343" w:rsidRDefault="00CA7034" w:rsidP="00A47585">
            <w:pPr>
              <w:tabs>
                <w:tab w:val="center" w:pos="4320"/>
                <w:tab w:val="right" w:pos="8640"/>
              </w:tabs>
              <w:jc w:val="right"/>
              <w:rPr>
                <w:rFonts w:cs="Arial"/>
                <w:sz w:val="18"/>
                <w:szCs w:val="18"/>
              </w:rPr>
            </w:pPr>
            <w:r>
              <w:rPr>
                <w:sz w:val="18"/>
              </w:rPr>
              <w:t>1 000 000 $</w:t>
            </w:r>
          </w:p>
          <w:p w:rsidR="00080148" w:rsidRPr="001F1343" w:rsidRDefault="00CA7034" w:rsidP="00A47585">
            <w:pPr>
              <w:tabs>
                <w:tab w:val="center" w:pos="4320"/>
                <w:tab w:val="right" w:pos="8640"/>
              </w:tabs>
              <w:jc w:val="right"/>
              <w:rPr>
                <w:rFonts w:cs="Arial"/>
                <w:sz w:val="18"/>
                <w:szCs w:val="18"/>
              </w:rPr>
            </w:pPr>
            <w:r>
              <w:rPr>
                <w:sz w:val="18"/>
              </w:rPr>
              <w:t xml:space="preserve"> </w:t>
            </w:r>
          </w:p>
        </w:tc>
      </w:tr>
    </w:tbl>
    <w:p w:rsidR="005609BD" w:rsidRPr="001F1343" w:rsidRDefault="005609BD" w:rsidP="00B934BF">
      <w:pPr>
        <w:pBdr>
          <w:bottom w:val="single" w:sz="4" w:space="1" w:color="auto"/>
        </w:pBdr>
        <w:rPr>
          <w:rFonts w:ascii="Times New Roman" w:hAnsi="Times New Roman"/>
          <w:szCs w:val="22"/>
        </w:rPr>
      </w:pPr>
    </w:p>
    <w:p w:rsidR="00810E63" w:rsidRPr="001F1343" w:rsidRDefault="00810E63" w:rsidP="00B934BF">
      <w:pPr>
        <w:pBdr>
          <w:bottom w:val="single" w:sz="4" w:space="1" w:color="auto"/>
        </w:pBdr>
        <w:rPr>
          <w:rFonts w:ascii="Times New Roman" w:hAnsi="Times New Roman"/>
          <w:szCs w:val="22"/>
        </w:rPr>
      </w:pPr>
    </w:p>
    <w:p w:rsidR="00B934BF" w:rsidRPr="001F1343" w:rsidRDefault="00CA7034" w:rsidP="00B934BF">
      <w:pPr>
        <w:pBdr>
          <w:bottom w:val="single" w:sz="4" w:space="1" w:color="auto"/>
        </w:pBdr>
        <w:rPr>
          <w:rFonts w:ascii="Times New Roman" w:hAnsi="Times New Roman"/>
          <w:i/>
          <w:szCs w:val="22"/>
        </w:rPr>
      </w:pPr>
      <w:r>
        <w:rPr>
          <w:rFonts w:ascii="Times New Roman" w:hAnsi="Times New Roman"/>
        </w:rPr>
        <w:t xml:space="preserve">Accepté par (gouvernement) : </w:t>
      </w:r>
    </w:p>
    <w:p w:rsidR="00B934BF" w:rsidRPr="001F1343" w:rsidRDefault="00CA7034" w:rsidP="00B934BF">
      <w:pPr>
        <w:jc w:val="center"/>
        <w:rPr>
          <w:rFonts w:ascii="Times New Roman" w:hAnsi="Times New Roman"/>
          <w:szCs w:val="22"/>
        </w:rPr>
      </w:pPr>
      <w:r>
        <w:rPr>
          <w:rFonts w:ascii="Times New Roman" w:hAnsi="Times New Roman"/>
        </w:rPr>
        <w:t>Jour/Mois/Année</w:t>
      </w:r>
    </w:p>
    <w:p w:rsidR="005329C0" w:rsidRPr="001F1343" w:rsidRDefault="005329C0" w:rsidP="005329C0">
      <w:pPr>
        <w:spacing w:after="0"/>
        <w:jc w:val="center"/>
        <w:rPr>
          <w:rFonts w:ascii="Times New Roman" w:hAnsi="Times New Roman"/>
          <w:szCs w:val="22"/>
        </w:rPr>
      </w:pPr>
    </w:p>
    <w:p w:rsidR="00051895" w:rsidRPr="001F1343" w:rsidRDefault="00051895" w:rsidP="005329C0">
      <w:pPr>
        <w:spacing w:after="0"/>
        <w:jc w:val="center"/>
        <w:rPr>
          <w:rFonts w:ascii="Times New Roman" w:hAnsi="Times New Roman"/>
          <w:szCs w:val="22"/>
        </w:rPr>
      </w:pPr>
    </w:p>
    <w:p w:rsidR="00B934BF" w:rsidRPr="001F1343" w:rsidRDefault="00CA7034" w:rsidP="00B934BF">
      <w:pPr>
        <w:pBdr>
          <w:bottom w:val="single" w:sz="4" w:space="1" w:color="auto"/>
        </w:pBdr>
        <w:rPr>
          <w:rFonts w:ascii="Times New Roman" w:hAnsi="Times New Roman"/>
          <w:i/>
          <w:szCs w:val="22"/>
        </w:rPr>
      </w:pPr>
      <w:r>
        <w:rPr>
          <w:rFonts w:ascii="Times New Roman" w:hAnsi="Times New Roman"/>
        </w:rPr>
        <w:t xml:space="preserve">Accepté par (entité d'exécution/partenaire de mise en œuvre) : </w:t>
      </w:r>
    </w:p>
    <w:p w:rsidR="00B934BF" w:rsidRPr="001F1343" w:rsidRDefault="00CA7034" w:rsidP="00B934BF">
      <w:pPr>
        <w:jc w:val="center"/>
        <w:rPr>
          <w:rFonts w:ascii="Times New Roman" w:hAnsi="Times New Roman"/>
          <w:szCs w:val="22"/>
        </w:rPr>
      </w:pPr>
      <w:r>
        <w:rPr>
          <w:rFonts w:ascii="Times New Roman" w:hAnsi="Times New Roman"/>
        </w:rPr>
        <w:t>Jour/Mois/Année</w:t>
      </w:r>
    </w:p>
    <w:p w:rsidR="00B934BF" w:rsidRPr="001F1343" w:rsidRDefault="00B934BF" w:rsidP="005329C0">
      <w:pPr>
        <w:pBdr>
          <w:bottom w:val="single" w:sz="4" w:space="1" w:color="auto"/>
        </w:pBdr>
        <w:spacing w:after="0"/>
        <w:rPr>
          <w:rFonts w:ascii="Times New Roman" w:hAnsi="Times New Roman"/>
          <w:szCs w:val="22"/>
        </w:rPr>
      </w:pPr>
    </w:p>
    <w:p w:rsidR="00051895" w:rsidRPr="001F1343" w:rsidRDefault="00051895" w:rsidP="005329C0">
      <w:pPr>
        <w:pBdr>
          <w:bottom w:val="single" w:sz="4" w:space="1" w:color="auto"/>
        </w:pBdr>
        <w:spacing w:after="0"/>
        <w:rPr>
          <w:rFonts w:ascii="Times New Roman" w:hAnsi="Times New Roman"/>
          <w:szCs w:val="22"/>
        </w:rPr>
      </w:pPr>
    </w:p>
    <w:p w:rsidR="00B934BF" w:rsidRPr="001F1343" w:rsidRDefault="00CA7034" w:rsidP="00B934BF">
      <w:pPr>
        <w:pBdr>
          <w:bottom w:val="single" w:sz="4" w:space="1" w:color="auto"/>
        </w:pBdr>
        <w:rPr>
          <w:rFonts w:ascii="Times New Roman" w:hAnsi="Times New Roman"/>
          <w:szCs w:val="22"/>
        </w:rPr>
      </w:pPr>
      <w:r>
        <w:rPr>
          <w:rFonts w:ascii="Times New Roman" w:hAnsi="Times New Roman"/>
        </w:rPr>
        <w:t>Accepté par (PNUD) :</w:t>
      </w:r>
      <w:r w:rsidR="000E6CB0">
        <w:rPr>
          <w:rFonts w:ascii="Times New Roman" w:hAnsi="Times New Roman"/>
        </w:rPr>
        <w:t xml:space="preserve"> </w:t>
      </w:r>
    </w:p>
    <w:p w:rsidR="00B934BF" w:rsidRPr="001F1343" w:rsidRDefault="00CA7034" w:rsidP="00B934BF">
      <w:pPr>
        <w:jc w:val="center"/>
        <w:rPr>
          <w:rFonts w:ascii="Times New Roman" w:hAnsi="Times New Roman"/>
          <w:szCs w:val="22"/>
        </w:rPr>
      </w:pPr>
      <w:r>
        <w:rPr>
          <w:rFonts w:ascii="Times New Roman" w:hAnsi="Times New Roman"/>
        </w:rPr>
        <w:t>Jour/Mois/Année</w:t>
      </w:r>
    </w:p>
    <w:p w:rsidR="001C5E81" w:rsidRPr="001F1343" w:rsidRDefault="00CA7034" w:rsidP="001C5E81">
      <w:pPr>
        <w:pStyle w:val="En-ttedetabledesmatires"/>
        <w:jc w:val="center"/>
        <w:rPr>
          <w:rFonts w:ascii="Times New Roman" w:hAnsi="Times New Roman"/>
          <w:szCs w:val="22"/>
        </w:rPr>
      </w:pPr>
      <w:r>
        <w:br w:type="page"/>
      </w:r>
    </w:p>
    <w:p w:rsidR="00CE2E33" w:rsidRPr="001F1343" w:rsidRDefault="00CA7034" w:rsidP="001C5E81">
      <w:pPr>
        <w:pStyle w:val="En-ttedetabledesmatires"/>
        <w:jc w:val="center"/>
        <w:rPr>
          <w:rFonts w:ascii="Times New Roman" w:hAnsi="Times New Roman"/>
          <w:sz w:val="28"/>
          <w:szCs w:val="24"/>
        </w:rPr>
      </w:pPr>
      <w:r>
        <w:rPr>
          <w:rFonts w:ascii="Times New Roman" w:hAnsi="Times New Roman"/>
          <w:color w:val="000000"/>
          <w:sz w:val="24"/>
        </w:rPr>
        <w:lastRenderedPageBreak/>
        <w:t>Table des matières</w:t>
      </w:r>
    </w:p>
    <w:p w:rsidR="000E7BFD" w:rsidRPr="001F1343" w:rsidRDefault="000E7BFD" w:rsidP="00CE2E33">
      <w:pPr>
        <w:spacing w:after="0"/>
        <w:jc w:val="center"/>
        <w:rPr>
          <w:rFonts w:ascii="Times New Roman" w:hAnsi="Times New Roman"/>
          <w:b/>
          <w:szCs w:val="22"/>
        </w:rPr>
      </w:pPr>
    </w:p>
    <w:p w:rsidR="00891B77" w:rsidRPr="001F1343" w:rsidRDefault="00891B77">
      <w:pPr>
        <w:pStyle w:val="En-ttedetabledesmatires"/>
      </w:pPr>
    </w:p>
    <w:p w:rsidR="00997CB5" w:rsidRPr="004F2CBA" w:rsidRDefault="004737D0">
      <w:pPr>
        <w:pStyle w:val="TM1"/>
        <w:rPr>
          <w:rFonts w:asciiTheme="minorHAnsi" w:eastAsiaTheme="minorEastAsia" w:hAnsiTheme="minorHAnsi" w:cstheme="minorBidi"/>
          <w:b w:val="0"/>
          <w:noProof/>
          <w:sz w:val="24"/>
          <w:szCs w:val="24"/>
          <w:lang w:val="es-ES_tradnl" w:eastAsia="ja-JP"/>
        </w:rPr>
      </w:pPr>
      <w:r>
        <w:fldChar w:fldCharType="begin"/>
      </w:r>
      <w:r w:rsidR="00CA7034">
        <w:instrText xml:space="preserve"> TOC \o "1-3" \h \z \u </w:instrText>
      </w:r>
      <w:r>
        <w:fldChar w:fldCharType="separate"/>
      </w:r>
      <w:r w:rsidR="00997CB5">
        <w:rPr>
          <w:noProof/>
        </w:rPr>
        <w:t>Liste d'acronymes</w:t>
      </w:r>
      <w:r w:rsidR="00997CB5">
        <w:rPr>
          <w:noProof/>
        </w:rPr>
        <w:tab/>
      </w:r>
      <w:r>
        <w:rPr>
          <w:noProof/>
        </w:rPr>
        <w:fldChar w:fldCharType="begin"/>
      </w:r>
      <w:r w:rsidR="00997CB5">
        <w:rPr>
          <w:noProof/>
        </w:rPr>
        <w:instrText xml:space="preserve"> PAGEREF _Toc298586285 \h </w:instrText>
      </w:r>
      <w:r>
        <w:rPr>
          <w:noProof/>
        </w:rPr>
      </w:r>
      <w:r>
        <w:rPr>
          <w:noProof/>
        </w:rPr>
        <w:fldChar w:fldCharType="separate"/>
      </w:r>
      <w:r w:rsidR="00997CB5">
        <w:rPr>
          <w:noProof/>
        </w:rPr>
        <w:t>4</w:t>
      </w:r>
      <w:r>
        <w:rPr>
          <w:noProof/>
        </w:rPr>
        <w:fldChar w:fldCharType="end"/>
      </w:r>
    </w:p>
    <w:p w:rsidR="00997CB5" w:rsidRPr="004F2CBA" w:rsidRDefault="00997CB5">
      <w:pPr>
        <w:pStyle w:val="TM1"/>
        <w:tabs>
          <w:tab w:val="left" w:pos="587"/>
        </w:tabs>
        <w:rPr>
          <w:rFonts w:asciiTheme="minorHAnsi" w:eastAsiaTheme="minorEastAsia" w:hAnsiTheme="minorHAnsi" w:cstheme="minorBidi"/>
          <w:b w:val="0"/>
          <w:noProof/>
          <w:sz w:val="24"/>
          <w:szCs w:val="24"/>
          <w:lang w:val="es-ES_tradnl" w:eastAsia="ja-JP"/>
        </w:rPr>
      </w:pPr>
      <w:r w:rsidRPr="00496A89">
        <w:rPr>
          <w:bCs/>
          <w:noProof/>
        </w:rPr>
        <w:t>1.</w:t>
      </w:r>
      <w:r w:rsidRPr="004F2CBA">
        <w:rPr>
          <w:rFonts w:asciiTheme="minorHAnsi" w:eastAsiaTheme="minorEastAsia" w:hAnsiTheme="minorHAnsi" w:cstheme="minorBidi"/>
          <w:b w:val="0"/>
          <w:noProof/>
          <w:sz w:val="24"/>
          <w:szCs w:val="24"/>
          <w:lang w:val="es-ES_tradnl" w:eastAsia="ja-JP"/>
        </w:rPr>
        <w:tab/>
      </w:r>
      <w:r>
        <w:rPr>
          <w:noProof/>
        </w:rPr>
        <w:t>Analyse de la situation</w:t>
      </w:r>
      <w:r>
        <w:rPr>
          <w:noProof/>
        </w:rPr>
        <w:tab/>
      </w:r>
      <w:r w:rsidR="004737D0">
        <w:rPr>
          <w:noProof/>
        </w:rPr>
        <w:fldChar w:fldCharType="begin"/>
      </w:r>
      <w:r>
        <w:rPr>
          <w:noProof/>
        </w:rPr>
        <w:instrText xml:space="preserve"> PAGEREF _Toc298586286 \h </w:instrText>
      </w:r>
      <w:r w:rsidR="004737D0">
        <w:rPr>
          <w:noProof/>
        </w:rPr>
      </w:r>
      <w:r w:rsidR="004737D0">
        <w:rPr>
          <w:noProof/>
        </w:rPr>
        <w:fldChar w:fldCharType="separate"/>
      </w:r>
      <w:r>
        <w:rPr>
          <w:noProof/>
        </w:rPr>
        <w:t>6</w:t>
      </w:r>
      <w:r w:rsidR="004737D0">
        <w:rPr>
          <w:noProof/>
        </w:rPr>
        <w:fldChar w:fldCharType="end"/>
      </w:r>
    </w:p>
    <w:p w:rsidR="00997CB5" w:rsidRPr="004F2CBA" w:rsidRDefault="00997CB5">
      <w:pPr>
        <w:pStyle w:val="TM1"/>
        <w:rPr>
          <w:rFonts w:asciiTheme="minorHAnsi" w:eastAsiaTheme="minorEastAsia" w:hAnsiTheme="minorHAnsi" w:cstheme="minorBidi"/>
          <w:b w:val="0"/>
          <w:noProof/>
          <w:sz w:val="24"/>
          <w:szCs w:val="24"/>
          <w:lang w:val="es-ES_tradnl" w:eastAsia="ja-JP"/>
        </w:rPr>
      </w:pPr>
      <w:r w:rsidRPr="00997CB5">
        <w:rPr>
          <w:rFonts w:cs="Arial"/>
          <w:noProof/>
        </w:rPr>
        <w:t>Contexte</w:t>
      </w:r>
      <w:r>
        <w:rPr>
          <w:noProof/>
        </w:rPr>
        <w:tab/>
      </w:r>
      <w:r w:rsidR="004737D0">
        <w:rPr>
          <w:noProof/>
        </w:rPr>
        <w:fldChar w:fldCharType="begin"/>
      </w:r>
      <w:r>
        <w:rPr>
          <w:noProof/>
        </w:rPr>
        <w:instrText xml:space="preserve"> PAGEREF _Toc298586287 \h </w:instrText>
      </w:r>
      <w:r w:rsidR="004737D0">
        <w:rPr>
          <w:noProof/>
        </w:rPr>
      </w:r>
      <w:r w:rsidR="004737D0">
        <w:rPr>
          <w:noProof/>
        </w:rPr>
        <w:fldChar w:fldCharType="separate"/>
      </w:r>
      <w:r>
        <w:rPr>
          <w:noProof/>
        </w:rPr>
        <w:t>6</w:t>
      </w:r>
      <w:r w:rsidR="004737D0">
        <w:rPr>
          <w:noProof/>
        </w:rPr>
        <w:fldChar w:fldCharType="end"/>
      </w:r>
    </w:p>
    <w:p w:rsidR="00997CB5" w:rsidRPr="00AE708E" w:rsidRDefault="00997CB5">
      <w:pPr>
        <w:pStyle w:val="TM1"/>
        <w:rPr>
          <w:rFonts w:asciiTheme="minorHAnsi" w:eastAsiaTheme="minorEastAsia" w:hAnsiTheme="minorHAnsi" w:cstheme="minorBidi"/>
          <w:b w:val="0"/>
          <w:noProof/>
          <w:sz w:val="24"/>
          <w:szCs w:val="24"/>
          <w:lang w:eastAsia="ja-JP"/>
        </w:rPr>
      </w:pPr>
      <w:r>
        <w:rPr>
          <w:noProof/>
        </w:rPr>
        <w:t>2. Stratégie</w:t>
      </w:r>
      <w:r>
        <w:rPr>
          <w:noProof/>
        </w:rPr>
        <w:tab/>
      </w:r>
      <w:r w:rsidR="004737D0">
        <w:rPr>
          <w:noProof/>
        </w:rPr>
        <w:fldChar w:fldCharType="begin"/>
      </w:r>
      <w:r>
        <w:rPr>
          <w:noProof/>
        </w:rPr>
        <w:instrText xml:space="preserve"> PAGEREF _Toc298586288 \h </w:instrText>
      </w:r>
      <w:r w:rsidR="004737D0">
        <w:rPr>
          <w:noProof/>
        </w:rPr>
      </w:r>
      <w:r w:rsidR="004737D0">
        <w:rPr>
          <w:noProof/>
        </w:rPr>
        <w:fldChar w:fldCharType="separate"/>
      </w:r>
      <w:r>
        <w:rPr>
          <w:noProof/>
        </w:rPr>
        <w:t>23</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Justification du projet et conformité avec la politique</w:t>
      </w:r>
      <w:r>
        <w:rPr>
          <w:noProof/>
        </w:rPr>
        <w:tab/>
      </w:r>
      <w:r w:rsidR="004737D0">
        <w:rPr>
          <w:noProof/>
        </w:rPr>
        <w:fldChar w:fldCharType="begin"/>
      </w:r>
      <w:r>
        <w:rPr>
          <w:noProof/>
        </w:rPr>
        <w:instrText xml:space="preserve"> PAGEREF _Toc298586289 \h </w:instrText>
      </w:r>
      <w:r w:rsidR="004737D0">
        <w:rPr>
          <w:noProof/>
        </w:rPr>
      </w:r>
      <w:r w:rsidR="004737D0">
        <w:rPr>
          <w:noProof/>
        </w:rPr>
        <w:fldChar w:fldCharType="separate"/>
      </w:r>
      <w:r>
        <w:rPr>
          <w:noProof/>
        </w:rPr>
        <w:t>23</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Structure institutionnelle</w:t>
      </w:r>
      <w:r>
        <w:rPr>
          <w:noProof/>
        </w:rPr>
        <w:tab/>
      </w:r>
      <w:r w:rsidR="004737D0">
        <w:rPr>
          <w:noProof/>
        </w:rPr>
        <w:fldChar w:fldCharType="begin"/>
      </w:r>
      <w:r>
        <w:rPr>
          <w:noProof/>
        </w:rPr>
        <w:instrText xml:space="preserve"> PAGEREF _Toc298586290 \h </w:instrText>
      </w:r>
      <w:r w:rsidR="004737D0">
        <w:rPr>
          <w:noProof/>
        </w:rPr>
      </w:r>
      <w:r w:rsidR="004737D0">
        <w:rPr>
          <w:noProof/>
        </w:rPr>
        <w:fldChar w:fldCharType="separate"/>
      </w:r>
      <w:r>
        <w:rPr>
          <w:noProof/>
        </w:rPr>
        <w:t>23</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Appropriation nationale : éligibilité nationale et rôle moteur du pays</w:t>
      </w:r>
      <w:r>
        <w:rPr>
          <w:noProof/>
        </w:rPr>
        <w:tab/>
      </w:r>
      <w:r w:rsidR="004737D0">
        <w:rPr>
          <w:noProof/>
        </w:rPr>
        <w:fldChar w:fldCharType="begin"/>
      </w:r>
      <w:r>
        <w:rPr>
          <w:noProof/>
        </w:rPr>
        <w:instrText xml:space="preserve"> PAGEREF _Toc298586291 \h </w:instrText>
      </w:r>
      <w:r w:rsidR="004737D0">
        <w:rPr>
          <w:noProof/>
        </w:rPr>
      </w:r>
      <w:r w:rsidR="004737D0">
        <w:rPr>
          <w:noProof/>
        </w:rPr>
        <w:fldChar w:fldCharType="separate"/>
      </w:r>
      <w:r>
        <w:rPr>
          <w:noProof/>
        </w:rPr>
        <w:t>24</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Principes de conception et considérations stratégiques</w:t>
      </w:r>
      <w:r>
        <w:rPr>
          <w:noProof/>
        </w:rPr>
        <w:tab/>
      </w:r>
      <w:r w:rsidR="004737D0">
        <w:rPr>
          <w:noProof/>
        </w:rPr>
        <w:fldChar w:fldCharType="begin"/>
      </w:r>
      <w:r>
        <w:rPr>
          <w:noProof/>
        </w:rPr>
        <w:instrText xml:space="preserve"> PAGEREF _Toc298586292 \h </w:instrText>
      </w:r>
      <w:r w:rsidR="004737D0">
        <w:rPr>
          <w:noProof/>
        </w:rPr>
      </w:r>
      <w:r w:rsidR="004737D0">
        <w:rPr>
          <w:noProof/>
        </w:rPr>
        <w:fldChar w:fldCharType="separate"/>
      </w:r>
      <w:r>
        <w:rPr>
          <w:noProof/>
        </w:rPr>
        <w:t>25</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Objectif, résultats et produits/activités du projet</w:t>
      </w:r>
      <w:r>
        <w:rPr>
          <w:noProof/>
        </w:rPr>
        <w:tab/>
      </w:r>
      <w:r w:rsidR="004737D0">
        <w:rPr>
          <w:noProof/>
        </w:rPr>
        <w:fldChar w:fldCharType="begin"/>
      </w:r>
      <w:r>
        <w:rPr>
          <w:noProof/>
        </w:rPr>
        <w:instrText xml:space="preserve"> PAGEREF _Toc298586293 \h </w:instrText>
      </w:r>
      <w:r w:rsidR="004737D0">
        <w:rPr>
          <w:noProof/>
        </w:rPr>
      </w:r>
      <w:r w:rsidR="004737D0">
        <w:rPr>
          <w:noProof/>
        </w:rPr>
        <w:fldChar w:fldCharType="separate"/>
      </w:r>
      <w:r>
        <w:rPr>
          <w:noProof/>
        </w:rPr>
        <w:t>26</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Indicateurs clés, hypothèses et risques</w:t>
      </w:r>
      <w:r>
        <w:rPr>
          <w:noProof/>
        </w:rPr>
        <w:tab/>
      </w:r>
      <w:r w:rsidR="004737D0">
        <w:rPr>
          <w:noProof/>
        </w:rPr>
        <w:fldChar w:fldCharType="begin"/>
      </w:r>
      <w:r>
        <w:rPr>
          <w:noProof/>
        </w:rPr>
        <w:instrText xml:space="preserve"> PAGEREF _Toc298586294 \h </w:instrText>
      </w:r>
      <w:r w:rsidR="004737D0">
        <w:rPr>
          <w:noProof/>
        </w:rPr>
      </w:r>
      <w:r w:rsidR="004737D0">
        <w:rPr>
          <w:noProof/>
        </w:rPr>
        <w:fldChar w:fldCharType="separate"/>
      </w:r>
      <w:r>
        <w:rPr>
          <w:noProof/>
        </w:rPr>
        <w:t>29</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Modalités financières</w:t>
      </w:r>
      <w:r>
        <w:rPr>
          <w:noProof/>
        </w:rPr>
        <w:tab/>
      </w:r>
      <w:r w:rsidR="004737D0">
        <w:rPr>
          <w:noProof/>
        </w:rPr>
        <w:fldChar w:fldCharType="begin"/>
      </w:r>
      <w:r>
        <w:rPr>
          <w:noProof/>
        </w:rPr>
        <w:instrText xml:space="preserve"> PAGEREF _Toc298586295 \h </w:instrText>
      </w:r>
      <w:r w:rsidR="004737D0">
        <w:rPr>
          <w:noProof/>
        </w:rPr>
      </w:r>
      <w:r w:rsidR="004737D0">
        <w:rPr>
          <w:noProof/>
        </w:rPr>
        <w:fldChar w:fldCharType="separate"/>
      </w:r>
      <w:r>
        <w:rPr>
          <w:noProof/>
        </w:rPr>
        <w:t>31</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Rapport coût-efficacité</w:t>
      </w:r>
      <w:r>
        <w:rPr>
          <w:noProof/>
        </w:rPr>
        <w:tab/>
      </w:r>
      <w:r w:rsidR="004737D0">
        <w:rPr>
          <w:noProof/>
        </w:rPr>
        <w:fldChar w:fldCharType="begin"/>
      </w:r>
      <w:r>
        <w:rPr>
          <w:noProof/>
        </w:rPr>
        <w:instrText xml:space="preserve"> PAGEREF _Toc298586296 \h </w:instrText>
      </w:r>
      <w:r w:rsidR="004737D0">
        <w:rPr>
          <w:noProof/>
        </w:rPr>
      </w:r>
      <w:r w:rsidR="004737D0">
        <w:rPr>
          <w:noProof/>
        </w:rPr>
        <w:fldChar w:fldCharType="separate"/>
      </w:r>
      <w:r>
        <w:rPr>
          <w:noProof/>
        </w:rPr>
        <w:t>32</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Durabilité</w:t>
      </w:r>
      <w:r>
        <w:rPr>
          <w:noProof/>
        </w:rPr>
        <w:tab/>
      </w:r>
      <w:r w:rsidR="004737D0">
        <w:rPr>
          <w:noProof/>
        </w:rPr>
        <w:fldChar w:fldCharType="begin"/>
      </w:r>
      <w:r>
        <w:rPr>
          <w:noProof/>
        </w:rPr>
        <w:instrText xml:space="preserve"> PAGEREF _Toc298586297 \h </w:instrText>
      </w:r>
      <w:r w:rsidR="004737D0">
        <w:rPr>
          <w:noProof/>
        </w:rPr>
      </w:r>
      <w:r w:rsidR="004737D0">
        <w:rPr>
          <w:noProof/>
        </w:rPr>
        <w:fldChar w:fldCharType="separate"/>
      </w:r>
      <w:r>
        <w:rPr>
          <w:noProof/>
        </w:rPr>
        <w:t>33</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Transposabilité</w:t>
      </w:r>
      <w:r>
        <w:rPr>
          <w:noProof/>
        </w:rPr>
        <w:tab/>
      </w:r>
      <w:r w:rsidR="004737D0">
        <w:rPr>
          <w:noProof/>
        </w:rPr>
        <w:fldChar w:fldCharType="begin"/>
      </w:r>
      <w:r>
        <w:rPr>
          <w:noProof/>
        </w:rPr>
        <w:instrText xml:space="preserve"> PAGEREF _Toc298586298 \h </w:instrText>
      </w:r>
      <w:r w:rsidR="004737D0">
        <w:rPr>
          <w:noProof/>
        </w:rPr>
      </w:r>
      <w:r w:rsidR="004737D0">
        <w:rPr>
          <w:noProof/>
        </w:rPr>
        <w:fldChar w:fldCharType="separate"/>
      </w:r>
      <w:r>
        <w:rPr>
          <w:noProof/>
        </w:rPr>
        <w:t>33</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Coordination avec d'autres initiatives relevant du FEM</w:t>
      </w:r>
      <w:r>
        <w:rPr>
          <w:noProof/>
        </w:rPr>
        <w:tab/>
      </w:r>
      <w:r w:rsidR="004737D0">
        <w:rPr>
          <w:noProof/>
        </w:rPr>
        <w:fldChar w:fldCharType="begin"/>
      </w:r>
      <w:r>
        <w:rPr>
          <w:noProof/>
        </w:rPr>
        <w:instrText xml:space="preserve"> PAGEREF _Toc298586299 \h </w:instrText>
      </w:r>
      <w:r w:rsidR="004737D0">
        <w:rPr>
          <w:noProof/>
        </w:rPr>
      </w:r>
      <w:r w:rsidR="004737D0">
        <w:rPr>
          <w:noProof/>
        </w:rPr>
        <w:fldChar w:fldCharType="separate"/>
      </w:r>
      <w:r>
        <w:rPr>
          <w:noProof/>
        </w:rPr>
        <w:t>34</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496A89">
        <w:rPr>
          <w:noProof/>
        </w:rPr>
        <w:t>Autres initiatives ne relevant pas du FEM</w:t>
      </w:r>
      <w:r>
        <w:rPr>
          <w:noProof/>
        </w:rPr>
        <w:tab/>
      </w:r>
      <w:r w:rsidR="004737D0">
        <w:rPr>
          <w:noProof/>
        </w:rPr>
        <w:fldChar w:fldCharType="begin"/>
      </w:r>
      <w:r>
        <w:rPr>
          <w:noProof/>
        </w:rPr>
        <w:instrText xml:space="preserve"> PAGEREF _Toc298586300 \h </w:instrText>
      </w:r>
      <w:r w:rsidR="004737D0">
        <w:rPr>
          <w:noProof/>
        </w:rPr>
      </w:r>
      <w:r w:rsidR="004737D0">
        <w:rPr>
          <w:noProof/>
        </w:rPr>
        <w:fldChar w:fldCharType="separate"/>
      </w:r>
      <w:r>
        <w:rPr>
          <w:noProof/>
        </w:rPr>
        <w:t>35</w:t>
      </w:r>
      <w:r w:rsidR="004737D0">
        <w:rPr>
          <w:noProof/>
        </w:rPr>
        <w:fldChar w:fldCharType="end"/>
      </w:r>
    </w:p>
    <w:p w:rsidR="00997CB5" w:rsidRPr="004F2CBA" w:rsidRDefault="00997CB5">
      <w:pPr>
        <w:pStyle w:val="TM1"/>
        <w:rPr>
          <w:rFonts w:asciiTheme="minorHAnsi" w:eastAsiaTheme="minorEastAsia" w:hAnsiTheme="minorHAnsi" w:cstheme="minorBidi"/>
          <w:b w:val="0"/>
          <w:noProof/>
          <w:sz w:val="24"/>
          <w:szCs w:val="24"/>
          <w:lang w:val="es-ES_tradnl" w:eastAsia="ja-JP"/>
        </w:rPr>
      </w:pPr>
      <w:r w:rsidRPr="00496A89">
        <w:rPr>
          <w:rFonts w:cs="Times New Roman Bold"/>
          <w:bCs/>
          <w:noProof/>
        </w:rPr>
        <w:t>3. Cadre des résultats du projet</w:t>
      </w:r>
      <w:r>
        <w:rPr>
          <w:noProof/>
        </w:rPr>
        <w:tab/>
      </w:r>
      <w:r w:rsidR="004737D0">
        <w:rPr>
          <w:noProof/>
        </w:rPr>
        <w:fldChar w:fldCharType="begin"/>
      </w:r>
      <w:r>
        <w:rPr>
          <w:noProof/>
        </w:rPr>
        <w:instrText xml:space="preserve"> PAGEREF _Toc298586301 \h </w:instrText>
      </w:r>
      <w:r w:rsidR="004737D0">
        <w:rPr>
          <w:noProof/>
        </w:rPr>
      </w:r>
      <w:r w:rsidR="004737D0">
        <w:rPr>
          <w:noProof/>
        </w:rPr>
        <w:fldChar w:fldCharType="separate"/>
      </w:r>
      <w:r>
        <w:rPr>
          <w:noProof/>
        </w:rPr>
        <w:t>36</w:t>
      </w:r>
      <w:r w:rsidR="004737D0">
        <w:rPr>
          <w:noProof/>
        </w:rPr>
        <w:fldChar w:fldCharType="end"/>
      </w:r>
    </w:p>
    <w:p w:rsidR="00997CB5" w:rsidRPr="00AE708E" w:rsidRDefault="00997CB5">
      <w:pPr>
        <w:pStyle w:val="TM2"/>
        <w:rPr>
          <w:rFonts w:asciiTheme="minorHAnsi" w:eastAsiaTheme="minorEastAsia" w:hAnsiTheme="minorHAnsi" w:cstheme="minorBidi"/>
          <w:noProof/>
          <w:sz w:val="24"/>
          <w:lang w:eastAsia="ja-JP"/>
        </w:rPr>
      </w:pPr>
      <w:r w:rsidRPr="00AE708E">
        <w:rPr>
          <w:noProof/>
          <w:lang w:eastAsia="en-US"/>
        </w:rPr>
        <w:t>Budget total et Plan de travail</w:t>
      </w:r>
      <w:r>
        <w:rPr>
          <w:noProof/>
        </w:rPr>
        <w:tab/>
      </w:r>
      <w:r w:rsidR="004737D0">
        <w:rPr>
          <w:noProof/>
        </w:rPr>
        <w:fldChar w:fldCharType="begin"/>
      </w:r>
      <w:r>
        <w:rPr>
          <w:noProof/>
        </w:rPr>
        <w:instrText xml:space="preserve"> PAGEREF _Toc298586302 \h </w:instrText>
      </w:r>
      <w:r w:rsidR="004737D0">
        <w:rPr>
          <w:noProof/>
        </w:rPr>
      </w:r>
      <w:r w:rsidR="004737D0">
        <w:rPr>
          <w:noProof/>
        </w:rPr>
        <w:fldChar w:fldCharType="separate"/>
      </w:r>
      <w:r>
        <w:rPr>
          <w:noProof/>
        </w:rPr>
        <w:t>42</w:t>
      </w:r>
      <w:r w:rsidR="004737D0">
        <w:rPr>
          <w:noProof/>
        </w:rPr>
        <w:fldChar w:fldCharType="end"/>
      </w:r>
    </w:p>
    <w:p w:rsidR="00997CB5" w:rsidRPr="004F2CBA" w:rsidRDefault="00997CB5">
      <w:pPr>
        <w:pStyle w:val="TM1"/>
        <w:rPr>
          <w:rFonts w:asciiTheme="minorHAnsi" w:eastAsiaTheme="minorEastAsia" w:hAnsiTheme="minorHAnsi" w:cstheme="minorBidi"/>
          <w:b w:val="0"/>
          <w:noProof/>
          <w:sz w:val="24"/>
          <w:szCs w:val="24"/>
          <w:lang w:val="es-ES_tradnl" w:eastAsia="ja-JP"/>
        </w:rPr>
      </w:pPr>
      <w:r w:rsidRPr="004F2CBA">
        <w:rPr>
          <w:noProof/>
          <w:lang w:val="es-ES_tradnl" w:eastAsia="en-US"/>
        </w:rPr>
        <w:t>4. Modalités de gestion</w:t>
      </w:r>
      <w:r>
        <w:rPr>
          <w:noProof/>
        </w:rPr>
        <w:tab/>
      </w:r>
      <w:r w:rsidR="004737D0">
        <w:rPr>
          <w:noProof/>
        </w:rPr>
        <w:fldChar w:fldCharType="begin"/>
      </w:r>
      <w:r>
        <w:rPr>
          <w:noProof/>
        </w:rPr>
        <w:instrText xml:space="preserve"> PAGEREF _Toc298586303 \h </w:instrText>
      </w:r>
      <w:r w:rsidR="004737D0">
        <w:rPr>
          <w:noProof/>
        </w:rPr>
      </w:r>
      <w:r w:rsidR="004737D0">
        <w:rPr>
          <w:noProof/>
        </w:rPr>
        <w:fldChar w:fldCharType="separate"/>
      </w:r>
      <w:r>
        <w:rPr>
          <w:noProof/>
        </w:rPr>
        <w:t>45</w:t>
      </w:r>
      <w:r w:rsidR="004737D0">
        <w:rPr>
          <w:noProof/>
        </w:rPr>
        <w:fldChar w:fldCharType="end"/>
      </w:r>
    </w:p>
    <w:p w:rsidR="00997CB5" w:rsidRPr="004F2CBA" w:rsidRDefault="00997CB5">
      <w:pPr>
        <w:pStyle w:val="TM1"/>
        <w:tabs>
          <w:tab w:val="left" w:pos="570"/>
        </w:tabs>
        <w:rPr>
          <w:rFonts w:asciiTheme="minorHAnsi" w:eastAsiaTheme="minorEastAsia" w:hAnsiTheme="minorHAnsi" w:cstheme="minorBidi"/>
          <w:b w:val="0"/>
          <w:noProof/>
          <w:sz w:val="24"/>
          <w:szCs w:val="24"/>
          <w:lang w:val="es-ES_tradnl" w:eastAsia="ja-JP"/>
        </w:rPr>
      </w:pPr>
      <w:r w:rsidRPr="004F2CBA">
        <w:rPr>
          <w:rFonts w:cs="Arial"/>
          <w:noProof/>
          <w:lang w:val="es-ES_tradnl" w:eastAsia="en-US"/>
        </w:rPr>
        <w:t>5.</w:t>
      </w:r>
      <w:r w:rsidRPr="004F2CBA">
        <w:rPr>
          <w:rFonts w:eastAsiaTheme="minorEastAsia" w:cs="Arial"/>
          <w:b w:val="0"/>
          <w:noProof/>
          <w:sz w:val="24"/>
          <w:szCs w:val="24"/>
          <w:lang w:val="es-ES_tradnl" w:eastAsia="ja-JP"/>
        </w:rPr>
        <w:tab/>
      </w:r>
      <w:r w:rsidRPr="004F2CBA">
        <w:rPr>
          <w:rFonts w:cs="Arial"/>
          <w:noProof/>
          <w:lang w:val="es-ES_tradnl" w:eastAsia="en-US"/>
        </w:rPr>
        <w:t>Suivi et évaluation</w:t>
      </w:r>
      <w:r>
        <w:rPr>
          <w:noProof/>
        </w:rPr>
        <w:tab/>
      </w:r>
      <w:r w:rsidR="004737D0">
        <w:rPr>
          <w:noProof/>
        </w:rPr>
        <w:fldChar w:fldCharType="begin"/>
      </w:r>
      <w:r>
        <w:rPr>
          <w:noProof/>
        </w:rPr>
        <w:instrText xml:space="preserve"> PAGEREF _Toc298586304 \h </w:instrText>
      </w:r>
      <w:r w:rsidR="004737D0">
        <w:rPr>
          <w:noProof/>
        </w:rPr>
      </w:r>
      <w:r w:rsidR="004737D0">
        <w:rPr>
          <w:noProof/>
        </w:rPr>
        <w:fldChar w:fldCharType="separate"/>
      </w:r>
      <w:r>
        <w:rPr>
          <w:noProof/>
        </w:rPr>
        <w:t>46</w:t>
      </w:r>
      <w:r w:rsidR="004737D0">
        <w:rPr>
          <w:noProof/>
        </w:rPr>
        <w:fldChar w:fldCharType="end"/>
      </w:r>
    </w:p>
    <w:p w:rsidR="00997CB5" w:rsidRPr="004F2CBA" w:rsidRDefault="00997CB5">
      <w:pPr>
        <w:pStyle w:val="TM1"/>
        <w:tabs>
          <w:tab w:val="left" w:pos="587"/>
        </w:tabs>
        <w:rPr>
          <w:rFonts w:asciiTheme="minorHAnsi" w:eastAsiaTheme="minorEastAsia" w:hAnsiTheme="minorHAnsi" w:cstheme="minorBidi"/>
          <w:b w:val="0"/>
          <w:noProof/>
          <w:sz w:val="24"/>
          <w:szCs w:val="24"/>
          <w:lang w:val="es-ES_tradnl" w:eastAsia="ja-JP"/>
        </w:rPr>
      </w:pPr>
      <w:r w:rsidRPr="004F2CBA">
        <w:rPr>
          <w:noProof/>
          <w:lang w:val="es-ES_tradnl" w:eastAsia="en-US"/>
        </w:rPr>
        <w:t>6.</w:t>
      </w:r>
      <w:r w:rsidRPr="004F2CBA">
        <w:rPr>
          <w:rFonts w:asciiTheme="minorHAnsi" w:eastAsiaTheme="minorEastAsia" w:hAnsiTheme="minorHAnsi" w:cstheme="minorBidi"/>
          <w:b w:val="0"/>
          <w:noProof/>
          <w:sz w:val="24"/>
          <w:szCs w:val="24"/>
          <w:lang w:val="es-ES_tradnl" w:eastAsia="ja-JP"/>
        </w:rPr>
        <w:tab/>
      </w:r>
      <w:r w:rsidRPr="004F2CBA">
        <w:rPr>
          <w:noProof/>
          <w:lang w:val="es-ES_tradnl" w:eastAsia="en-US"/>
        </w:rPr>
        <w:t>Contexte légal</w:t>
      </w:r>
      <w:r>
        <w:rPr>
          <w:noProof/>
        </w:rPr>
        <w:tab/>
      </w:r>
      <w:r w:rsidR="004737D0">
        <w:rPr>
          <w:noProof/>
        </w:rPr>
        <w:fldChar w:fldCharType="begin"/>
      </w:r>
      <w:r>
        <w:rPr>
          <w:noProof/>
        </w:rPr>
        <w:instrText xml:space="preserve"> PAGEREF _Toc298586305 \h </w:instrText>
      </w:r>
      <w:r w:rsidR="004737D0">
        <w:rPr>
          <w:noProof/>
        </w:rPr>
      </w:r>
      <w:r w:rsidR="004737D0">
        <w:rPr>
          <w:noProof/>
        </w:rPr>
        <w:fldChar w:fldCharType="separate"/>
      </w:r>
      <w:r>
        <w:rPr>
          <w:noProof/>
        </w:rPr>
        <w:t>51</w:t>
      </w:r>
      <w:r w:rsidR="004737D0">
        <w:rPr>
          <w:noProof/>
        </w:rPr>
        <w:fldChar w:fldCharType="end"/>
      </w:r>
    </w:p>
    <w:p w:rsidR="00997CB5" w:rsidRPr="00AE708E" w:rsidRDefault="00997CB5">
      <w:pPr>
        <w:pStyle w:val="TM1"/>
        <w:rPr>
          <w:rFonts w:asciiTheme="minorHAnsi" w:eastAsiaTheme="minorEastAsia" w:hAnsiTheme="minorHAnsi" w:cstheme="minorBidi"/>
          <w:b w:val="0"/>
          <w:noProof/>
          <w:sz w:val="24"/>
          <w:szCs w:val="24"/>
          <w:lang w:eastAsia="ja-JP"/>
        </w:rPr>
      </w:pPr>
      <w:r w:rsidRPr="00AE708E">
        <w:rPr>
          <w:noProof/>
          <w:lang w:eastAsia="en-US"/>
        </w:rPr>
        <w:t>7. ANNEXES</w:t>
      </w:r>
      <w:r>
        <w:rPr>
          <w:noProof/>
        </w:rPr>
        <w:tab/>
      </w:r>
      <w:r w:rsidR="004737D0">
        <w:rPr>
          <w:noProof/>
        </w:rPr>
        <w:fldChar w:fldCharType="begin"/>
      </w:r>
      <w:r>
        <w:rPr>
          <w:noProof/>
        </w:rPr>
        <w:instrText xml:space="preserve"> PAGEREF _Toc298586306 \h </w:instrText>
      </w:r>
      <w:r w:rsidR="004737D0">
        <w:rPr>
          <w:noProof/>
        </w:rPr>
      </w:r>
      <w:r w:rsidR="004737D0">
        <w:rPr>
          <w:noProof/>
        </w:rPr>
        <w:fldChar w:fldCharType="separate"/>
      </w:r>
      <w:r>
        <w:rPr>
          <w:noProof/>
        </w:rPr>
        <w:t>52</w:t>
      </w:r>
      <w:r w:rsidR="004737D0">
        <w:rPr>
          <w:noProof/>
        </w:rPr>
        <w:fldChar w:fldCharType="end"/>
      </w:r>
    </w:p>
    <w:p w:rsidR="00997CB5" w:rsidRPr="00AE708E" w:rsidRDefault="00997CB5">
      <w:pPr>
        <w:pStyle w:val="TM1"/>
        <w:rPr>
          <w:rFonts w:asciiTheme="minorHAnsi" w:eastAsiaTheme="minorEastAsia" w:hAnsiTheme="minorHAnsi" w:cstheme="minorBidi"/>
          <w:b w:val="0"/>
          <w:noProof/>
          <w:sz w:val="24"/>
          <w:szCs w:val="24"/>
          <w:lang w:eastAsia="ja-JP"/>
        </w:rPr>
      </w:pPr>
      <w:r w:rsidRPr="00AE708E">
        <w:rPr>
          <w:noProof/>
          <w:lang w:eastAsia="en-US"/>
        </w:rPr>
        <w:t>ANNEXE 1 : Journal des risques hors ligne</w:t>
      </w:r>
      <w:r>
        <w:rPr>
          <w:noProof/>
        </w:rPr>
        <w:tab/>
      </w:r>
      <w:r w:rsidR="004737D0">
        <w:rPr>
          <w:noProof/>
        </w:rPr>
        <w:fldChar w:fldCharType="begin"/>
      </w:r>
      <w:r>
        <w:rPr>
          <w:noProof/>
        </w:rPr>
        <w:instrText xml:space="preserve"> PAGEREF _Toc298586307 \h </w:instrText>
      </w:r>
      <w:r w:rsidR="004737D0">
        <w:rPr>
          <w:noProof/>
        </w:rPr>
      </w:r>
      <w:r w:rsidR="004737D0">
        <w:rPr>
          <w:noProof/>
        </w:rPr>
        <w:fldChar w:fldCharType="separate"/>
      </w:r>
      <w:r>
        <w:rPr>
          <w:noProof/>
        </w:rPr>
        <w:t>53</w:t>
      </w:r>
      <w:r w:rsidR="004737D0">
        <w:rPr>
          <w:noProof/>
        </w:rPr>
        <w:fldChar w:fldCharType="end"/>
      </w:r>
    </w:p>
    <w:p w:rsidR="00997CB5" w:rsidRPr="00AE708E" w:rsidRDefault="00997CB5">
      <w:pPr>
        <w:pStyle w:val="TM1"/>
        <w:rPr>
          <w:rFonts w:asciiTheme="minorHAnsi" w:eastAsiaTheme="minorEastAsia" w:hAnsiTheme="minorHAnsi" w:cstheme="minorBidi"/>
          <w:b w:val="0"/>
          <w:noProof/>
          <w:sz w:val="24"/>
          <w:szCs w:val="24"/>
          <w:lang w:eastAsia="ja-JP"/>
        </w:rPr>
      </w:pPr>
      <w:r w:rsidRPr="00AE708E">
        <w:rPr>
          <w:noProof/>
          <w:lang w:eastAsia="en-US"/>
        </w:rPr>
        <w:t>ANNEXE 2 : MISSION</w:t>
      </w:r>
      <w:r>
        <w:rPr>
          <w:noProof/>
        </w:rPr>
        <w:tab/>
      </w:r>
      <w:r w:rsidR="004737D0">
        <w:rPr>
          <w:noProof/>
        </w:rPr>
        <w:fldChar w:fldCharType="begin"/>
      </w:r>
      <w:r>
        <w:rPr>
          <w:noProof/>
        </w:rPr>
        <w:instrText xml:space="preserve"> PAGEREF _Toc298586308 \h </w:instrText>
      </w:r>
      <w:r w:rsidR="004737D0">
        <w:rPr>
          <w:noProof/>
        </w:rPr>
      </w:r>
      <w:r w:rsidR="004737D0">
        <w:rPr>
          <w:noProof/>
        </w:rPr>
        <w:fldChar w:fldCharType="separate"/>
      </w:r>
      <w:r>
        <w:rPr>
          <w:noProof/>
        </w:rPr>
        <w:t>58</w:t>
      </w:r>
      <w:r w:rsidR="004737D0">
        <w:rPr>
          <w:noProof/>
        </w:rPr>
        <w:fldChar w:fldCharType="end"/>
      </w:r>
    </w:p>
    <w:p w:rsidR="00997CB5" w:rsidRPr="00AE708E" w:rsidRDefault="00997CB5">
      <w:pPr>
        <w:pStyle w:val="TM1"/>
        <w:rPr>
          <w:rFonts w:asciiTheme="minorHAnsi" w:eastAsiaTheme="minorEastAsia" w:hAnsiTheme="minorHAnsi" w:cstheme="minorBidi"/>
          <w:b w:val="0"/>
          <w:noProof/>
          <w:sz w:val="24"/>
          <w:szCs w:val="24"/>
          <w:lang w:eastAsia="ja-JP"/>
        </w:rPr>
      </w:pPr>
      <w:r w:rsidRPr="00AE708E">
        <w:rPr>
          <w:noProof/>
          <w:lang w:eastAsia="en-US"/>
        </w:rPr>
        <w:t>ANNEXE 3 : Calcul des émissions de GES</w:t>
      </w:r>
      <w:r>
        <w:rPr>
          <w:noProof/>
        </w:rPr>
        <w:tab/>
      </w:r>
      <w:r w:rsidR="004737D0">
        <w:rPr>
          <w:noProof/>
        </w:rPr>
        <w:fldChar w:fldCharType="begin"/>
      </w:r>
      <w:r>
        <w:rPr>
          <w:noProof/>
        </w:rPr>
        <w:instrText xml:space="preserve"> PAGEREF _Toc298586309 \h </w:instrText>
      </w:r>
      <w:r w:rsidR="004737D0">
        <w:rPr>
          <w:noProof/>
        </w:rPr>
      </w:r>
      <w:r w:rsidR="004737D0">
        <w:rPr>
          <w:noProof/>
        </w:rPr>
        <w:fldChar w:fldCharType="separate"/>
      </w:r>
      <w:r>
        <w:rPr>
          <w:noProof/>
        </w:rPr>
        <w:t>63</w:t>
      </w:r>
      <w:r w:rsidR="004737D0">
        <w:rPr>
          <w:noProof/>
        </w:rPr>
        <w:fldChar w:fldCharType="end"/>
      </w:r>
    </w:p>
    <w:p w:rsidR="000F163E" w:rsidRPr="00D11CE8" w:rsidRDefault="004737D0" w:rsidP="00D11CE8">
      <w:pPr>
        <w:pStyle w:val="TM1"/>
      </w:pPr>
      <w:r>
        <w:fldChar w:fldCharType="end"/>
      </w:r>
    </w:p>
    <w:p w:rsidR="000F163E" w:rsidRPr="001F1343" w:rsidRDefault="000F163E" w:rsidP="00CE2E33">
      <w:pPr>
        <w:spacing w:after="0"/>
        <w:jc w:val="center"/>
        <w:rPr>
          <w:rFonts w:ascii="Times New Roman" w:hAnsi="Times New Roman"/>
          <w:b/>
          <w:szCs w:val="22"/>
        </w:rPr>
      </w:pPr>
    </w:p>
    <w:p w:rsidR="00B934BF" w:rsidRPr="001F1343" w:rsidRDefault="00CA7034" w:rsidP="00550958">
      <w:pPr>
        <w:pStyle w:val="Titre1"/>
        <w:jc w:val="center"/>
        <w:rPr>
          <w:sz w:val="22"/>
          <w:szCs w:val="22"/>
        </w:rPr>
      </w:pPr>
      <w:r>
        <w:br w:type="page"/>
      </w:r>
      <w:bookmarkStart w:id="2" w:name="_Toc285354076"/>
      <w:bookmarkStart w:id="3" w:name="_Toc262924474"/>
      <w:bookmarkStart w:id="4" w:name="_Toc418144236"/>
      <w:bookmarkStart w:id="5" w:name="_Toc298586285"/>
      <w:r>
        <w:rPr>
          <w:sz w:val="22"/>
        </w:rPr>
        <w:lastRenderedPageBreak/>
        <w:t>Liste d'acronymes</w:t>
      </w:r>
      <w:bookmarkEnd w:id="2"/>
      <w:bookmarkEnd w:id="3"/>
      <w:bookmarkEnd w:id="4"/>
      <w:bookmarkEnd w:id="5"/>
    </w:p>
    <w:p w:rsidR="00BE553F" w:rsidRPr="00B75062" w:rsidRDefault="00BE553F" w:rsidP="00BE553F">
      <w:pPr>
        <w:jc w:val="left"/>
        <w:rPr>
          <w:rFonts w:ascii="Times New Roman" w:hAnsi="Times New Roman"/>
          <w:szCs w:val="22"/>
        </w:rPr>
      </w:pPr>
      <w:r w:rsidRPr="00B75062">
        <w:rPr>
          <w:rFonts w:ascii="Times New Roman" w:hAnsi="Times New Roman"/>
        </w:rPr>
        <w:t>ANAMIF</w:t>
      </w:r>
      <w:r w:rsidRPr="00B75062">
        <w:rPr>
          <w:rFonts w:ascii="Times New Roman" w:hAnsi="Times New Roman"/>
        </w:rPr>
        <w:tab/>
        <w:t>Agence nationale de la microfinance</w:t>
      </w:r>
    </w:p>
    <w:p w:rsidR="00BE553F" w:rsidRPr="00B75062" w:rsidRDefault="00BE553F" w:rsidP="00BE553F">
      <w:pPr>
        <w:jc w:val="left"/>
        <w:rPr>
          <w:rFonts w:ascii="Times New Roman" w:hAnsi="Times New Roman"/>
          <w:szCs w:val="22"/>
        </w:rPr>
      </w:pPr>
      <w:r w:rsidRPr="00B75062">
        <w:rPr>
          <w:rFonts w:ascii="Times New Roman" w:hAnsi="Times New Roman"/>
        </w:rPr>
        <w:t>APR</w:t>
      </w:r>
      <w:r w:rsidRPr="00B75062">
        <w:rPr>
          <w:rFonts w:ascii="Times New Roman" w:hAnsi="Times New Roman"/>
        </w:rPr>
        <w:tab/>
      </w:r>
      <w:r>
        <w:rPr>
          <w:rFonts w:ascii="Times New Roman" w:hAnsi="Times New Roman"/>
        </w:rPr>
        <w:tab/>
      </w:r>
      <w:r w:rsidRPr="00B75062">
        <w:rPr>
          <w:rFonts w:ascii="Times New Roman" w:hAnsi="Times New Roman"/>
        </w:rPr>
        <w:t>Examen annuel du projet</w:t>
      </w:r>
    </w:p>
    <w:p w:rsidR="00BE553F" w:rsidRPr="00B75062" w:rsidRDefault="00BE553F" w:rsidP="00BE553F">
      <w:pPr>
        <w:jc w:val="left"/>
        <w:rPr>
          <w:rFonts w:ascii="Times New Roman" w:hAnsi="Times New Roman"/>
          <w:szCs w:val="22"/>
        </w:rPr>
      </w:pPr>
      <w:r w:rsidRPr="00B75062">
        <w:rPr>
          <w:rFonts w:ascii="Times New Roman" w:hAnsi="Times New Roman"/>
        </w:rPr>
        <w:t>BAD</w:t>
      </w:r>
      <w:r w:rsidRPr="00B75062">
        <w:rPr>
          <w:rFonts w:ascii="Times New Roman" w:hAnsi="Times New Roman"/>
        </w:rPr>
        <w:tab/>
      </w:r>
      <w:r>
        <w:rPr>
          <w:rFonts w:ascii="Times New Roman" w:hAnsi="Times New Roman"/>
        </w:rPr>
        <w:tab/>
      </w:r>
      <w:r w:rsidRPr="00B75062">
        <w:rPr>
          <w:rFonts w:ascii="Times New Roman" w:hAnsi="Times New Roman"/>
        </w:rPr>
        <w:t>Banque africaine de développement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CCNUCC</w:t>
      </w:r>
      <w:r w:rsidRPr="00B75062">
        <w:rPr>
          <w:rFonts w:ascii="Times New Roman" w:hAnsi="Times New Roman"/>
        </w:rPr>
        <w:tab/>
        <w:t>Convention-cadre des Nations unies sur les changements climatiques</w:t>
      </w:r>
    </w:p>
    <w:p w:rsidR="00BE553F" w:rsidRPr="00B75062" w:rsidRDefault="00BE553F" w:rsidP="00BE553F">
      <w:pPr>
        <w:jc w:val="left"/>
        <w:rPr>
          <w:rFonts w:ascii="Times New Roman" w:hAnsi="Times New Roman"/>
          <w:szCs w:val="22"/>
        </w:rPr>
      </w:pPr>
      <w:r w:rsidRPr="00B75062">
        <w:rPr>
          <w:rFonts w:ascii="Times New Roman" w:hAnsi="Times New Roman"/>
        </w:rPr>
        <w:t>CERESCOR</w:t>
      </w:r>
      <w:r w:rsidRPr="00B75062">
        <w:rPr>
          <w:rFonts w:ascii="Times New Roman" w:hAnsi="Times New Roman"/>
        </w:rPr>
        <w:tab/>
        <w:t>Centre de recherche scientifique de Conakry-Rogbanè</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CO</w:t>
      </w:r>
      <w:r w:rsidRPr="00B75062">
        <w:rPr>
          <w:rFonts w:ascii="Times New Roman" w:hAnsi="Times New Roman"/>
        </w:rPr>
        <w:tab/>
      </w:r>
      <w:r>
        <w:rPr>
          <w:rFonts w:ascii="Times New Roman" w:hAnsi="Times New Roman"/>
        </w:rPr>
        <w:tab/>
      </w:r>
      <w:r w:rsidRPr="00B75062">
        <w:rPr>
          <w:rFonts w:ascii="Times New Roman" w:hAnsi="Times New Roman"/>
        </w:rPr>
        <w:t>Bureau de pays du PNUD</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CO</w:t>
      </w:r>
      <w:r w:rsidRPr="00B75062">
        <w:rPr>
          <w:rFonts w:ascii="Times New Roman" w:hAnsi="Times New Roman"/>
          <w:vertAlign w:val="subscript"/>
        </w:rPr>
        <w:t>2</w:t>
      </w:r>
      <w:r w:rsidRPr="00B75062">
        <w:rPr>
          <w:rFonts w:ascii="Times New Roman" w:hAnsi="Times New Roman"/>
        </w:rPr>
        <w:tab/>
      </w:r>
      <w:r>
        <w:rPr>
          <w:rFonts w:ascii="Times New Roman" w:hAnsi="Times New Roman"/>
        </w:rPr>
        <w:tab/>
      </w:r>
      <w:r w:rsidRPr="00B75062">
        <w:rPr>
          <w:rFonts w:ascii="Times New Roman" w:hAnsi="Times New Roman"/>
        </w:rPr>
        <w:t>Dioxyde de carbone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DSRP</w:t>
      </w:r>
      <w:r w:rsidRPr="00B75062">
        <w:rPr>
          <w:rFonts w:ascii="Times New Roman" w:hAnsi="Times New Roman"/>
        </w:rPr>
        <w:tab/>
      </w:r>
      <w:r>
        <w:rPr>
          <w:rFonts w:ascii="Times New Roman" w:hAnsi="Times New Roman"/>
        </w:rPr>
        <w:tab/>
      </w:r>
      <w:r w:rsidRPr="00B75062">
        <w:rPr>
          <w:rFonts w:ascii="Times New Roman" w:hAnsi="Times New Roman"/>
        </w:rPr>
        <w:t>Document de stratégie pour la réduction de la pauvreté</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EDG</w:t>
      </w:r>
      <w:r w:rsidRPr="00B75062">
        <w:rPr>
          <w:rFonts w:ascii="Times New Roman" w:hAnsi="Times New Roman"/>
        </w:rPr>
        <w:tab/>
      </w:r>
      <w:r>
        <w:rPr>
          <w:rFonts w:ascii="Times New Roman" w:hAnsi="Times New Roman"/>
        </w:rPr>
        <w:tab/>
      </w:r>
      <w:r w:rsidRPr="00B75062">
        <w:rPr>
          <w:rFonts w:ascii="Times New Roman" w:hAnsi="Times New Roman"/>
        </w:rPr>
        <w:t>Électricité de Guinée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EIE</w:t>
      </w:r>
      <w:r w:rsidRPr="00B75062">
        <w:rPr>
          <w:rFonts w:ascii="Times New Roman" w:hAnsi="Times New Roman"/>
        </w:rPr>
        <w:tab/>
      </w:r>
      <w:r>
        <w:rPr>
          <w:rFonts w:ascii="Times New Roman" w:hAnsi="Times New Roman"/>
        </w:rPr>
        <w:tab/>
      </w:r>
      <w:r w:rsidRPr="00B75062">
        <w:rPr>
          <w:rFonts w:ascii="Times New Roman" w:hAnsi="Times New Roman"/>
        </w:rPr>
        <w:t>Étude d'impact environnemental</w:t>
      </w:r>
    </w:p>
    <w:p w:rsidR="00BE553F" w:rsidRPr="00B75062" w:rsidRDefault="00BE553F" w:rsidP="00BE553F">
      <w:pPr>
        <w:pStyle w:val="BankNormal"/>
        <w:spacing w:after="60"/>
        <w:rPr>
          <w:sz w:val="22"/>
          <w:szCs w:val="22"/>
        </w:rPr>
      </w:pPr>
      <w:r w:rsidRPr="00B75062">
        <w:rPr>
          <w:sz w:val="22"/>
        </w:rPr>
        <w:t>FAO</w:t>
      </w:r>
      <w:r w:rsidRPr="00B75062">
        <w:rPr>
          <w:sz w:val="22"/>
        </w:rPr>
        <w:tab/>
      </w:r>
      <w:r>
        <w:rPr>
          <w:sz w:val="22"/>
        </w:rPr>
        <w:tab/>
      </w:r>
      <w:r w:rsidRPr="00B75062">
        <w:rPr>
          <w:sz w:val="22"/>
        </w:rPr>
        <w:t>Organisation des Nations Unies pour l'alimentation et l'agriculture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FEM</w:t>
      </w:r>
      <w:r w:rsidRPr="00B75062">
        <w:rPr>
          <w:rFonts w:ascii="Times New Roman" w:hAnsi="Times New Roman"/>
        </w:rPr>
        <w:tab/>
      </w:r>
      <w:r>
        <w:rPr>
          <w:rFonts w:ascii="Times New Roman" w:hAnsi="Times New Roman"/>
        </w:rPr>
        <w:tab/>
      </w:r>
      <w:r w:rsidRPr="00B75062">
        <w:rPr>
          <w:rFonts w:ascii="Times New Roman" w:hAnsi="Times New Roman"/>
        </w:rPr>
        <w:t>Fonds pour l'environnement mondial</w:t>
      </w:r>
    </w:p>
    <w:p w:rsidR="00BE553F" w:rsidRPr="00B75062" w:rsidRDefault="00BE553F" w:rsidP="00BE553F">
      <w:pPr>
        <w:pStyle w:val="BankNormal"/>
        <w:spacing w:after="60"/>
        <w:rPr>
          <w:sz w:val="22"/>
          <w:szCs w:val="22"/>
        </w:rPr>
      </w:pPr>
      <w:r w:rsidRPr="00B75062">
        <w:rPr>
          <w:sz w:val="22"/>
        </w:rPr>
        <w:t>FSM</w:t>
      </w:r>
      <w:r w:rsidRPr="00B75062">
        <w:rPr>
          <w:sz w:val="22"/>
        </w:rPr>
        <w:tab/>
      </w:r>
      <w:r>
        <w:rPr>
          <w:sz w:val="22"/>
        </w:rPr>
        <w:tab/>
      </w:r>
      <w:r w:rsidRPr="00B75062">
        <w:rPr>
          <w:sz w:val="22"/>
        </w:rPr>
        <w:t>Mécanisme de soutien financier</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GES</w:t>
      </w:r>
      <w:r w:rsidRPr="00B75062">
        <w:rPr>
          <w:rFonts w:ascii="Times New Roman" w:hAnsi="Times New Roman"/>
        </w:rPr>
        <w:tab/>
      </w:r>
      <w:r>
        <w:rPr>
          <w:rFonts w:ascii="Times New Roman" w:hAnsi="Times New Roman"/>
        </w:rPr>
        <w:tab/>
      </w:r>
      <w:r w:rsidRPr="00B75062">
        <w:rPr>
          <w:rFonts w:ascii="Times New Roman" w:hAnsi="Times New Roman"/>
        </w:rPr>
        <w:t>Gaz à effet de serre</w:t>
      </w:r>
    </w:p>
    <w:p w:rsidR="00BE553F" w:rsidRPr="00B75062" w:rsidRDefault="00BE553F" w:rsidP="00BE553F">
      <w:pPr>
        <w:pStyle w:val="BankNormal"/>
        <w:spacing w:after="60"/>
        <w:rPr>
          <w:sz w:val="22"/>
          <w:szCs w:val="22"/>
        </w:rPr>
      </w:pPr>
      <w:r w:rsidRPr="00B75062">
        <w:rPr>
          <w:sz w:val="22"/>
        </w:rPr>
        <w:t>IPP</w:t>
      </w:r>
      <w:r w:rsidRPr="00B75062">
        <w:rPr>
          <w:sz w:val="22"/>
        </w:rPr>
        <w:tab/>
      </w:r>
      <w:r>
        <w:rPr>
          <w:sz w:val="22"/>
        </w:rPr>
        <w:tab/>
      </w:r>
      <w:r w:rsidRPr="00B75062">
        <w:rPr>
          <w:sz w:val="22"/>
        </w:rPr>
        <w:t>Producteur indépendant d'électricité</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kW</w:t>
      </w:r>
      <w:r w:rsidRPr="00B75062">
        <w:rPr>
          <w:rFonts w:ascii="Times New Roman" w:hAnsi="Times New Roman"/>
        </w:rPr>
        <w:tab/>
      </w:r>
      <w:r>
        <w:rPr>
          <w:rFonts w:ascii="Times New Roman" w:hAnsi="Times New Roman"/>
        </w:rPr>
        <w:tab/>
      </w:r>
      <w:r w:rsidRPr="00B75062">
        <w:rPr>
          <w:rFonts w:ascii="Times New Roman" w:hAnsi="Times New Roman"/>
        </w:rPr>
        <w:t xml:space="preserve">Kilowatt </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kWh</w:t>
      </w:r>
      <w:r w:rsidRPr="00B75062">
        <w:rPr>
          <w:rFonts w:ascii="Times New Roman" w:hAnsi="Times New Roman"/>
        </w:rPr>
        <w:tab/>
      </w:r>
      <w:r>
        <w:rPr>
          <w:rFonts w:ascii="Times New Roman" w:hAnsi="Times New Roman"/>
        </w:rPr>
        <w:tab/>
      </w:r>
      <w:r w:rsidRPr="00B75062">
        <w:rPr>
          <w:rFonts w:ascii="Times New Roman" w:hAnsi="Times New Roman"/>
        </w:rPr>
        <w:t>Kilowatt-heure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LED</w:t>
      </w:r>
      <w:r w:rsidRPr="00B75062">
        <w:rPr>
          <w:rFonts w:ascii="Times New Roman" w:hAnsi="Times New Roman"/>
        </w:rPr>
        <w:tab/>
      </w:r>
      <w:r>
        <w:rPr>
          <w:rFonts w:ascii="Times New Roman" w:hAnsi="Times New Roman"/>
        </w:rPr>
        <w:tab/>
      </w:r>
      <w:r w:rsidRPr="00B75062">
        <w:rPr>
          <w:rFonts w:ascii="Times New Roman" w:hAnsi="Times New Roman"/>
        </w:rPr>
        <w:t xml:space="preserve">Diode électroluminescente </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LPDSE</w:t>
      </w:r>
      <w:r w:rsidRPr="00B75062">
        <w:rPr>
          <w:rFonts w:ascii="Times New Roman" w:hAnsi="Times New Roman"/>
        </w:rPr>
        <w:tab/>
      </w:r>
      <w:r>
        <w:rPr>
          <w:rFonts w:ascii="Times New Roman" w:hAnsi="Times New Roman"/>
        </w:rPr>
        <w:tab/>
      </w:r>
      <w:r w:rsidRPr="00B75062">
        <w:rPr>
          <w:rFonts w:ascii="Times New Roman" w:hAnsi="Times New Roman"/>
        </w:rPr>
        <w:t>Lettre de politique de développement du secteur énergétique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MAAN</w:t>
      </w:r>
      <w:r>
        <w:rPr>
          <w:rFonts w:ascii="Times New Roman" w:hAnsi="Times New Roman"/>
        </w:rPr>
        <w:tab/>
      </w:r>
      <w:r w:rsidRPr="00B75062">
        <w:rPr>
          <w:rFonts w:ascii="Times New Roman" w:hAnsi="Times New Roman"/>
        </w:rPr>
        <w:tab/>
        <w:t xml:space="preserve">Mesures d'atténuation adaptées au contexte national </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MEEF</w:t>
      </w:r>
      <w:r w:rsidRPr="00B75062">
        <w:rPr>
          <w:rFonts w:ascii="Times New Roman" w:hAnsi="Times New Roman"/>
        </w:rPr>
        <w:tab/>
      </w:r>
      <w:r>
        <w:rPr>
          <w:rFonts w:ascii="Times New Roman" w:hAnsi="Times New Roman"/>
        </w:rPr>
        <w:tab/>
      </w:r>
      <w:r w:rsidRPr="00B75062">
        <w:rPr>
          <w:rFonts w:ascii="Times New Roman" w:hAnsi="Times New Roman"/>
        </w:rPr>
        <w:t xml:space="preserve">Ministère de l'Environnement, des Eaux et Forêts </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Mtep</w:t>
      </w:r>
      <w:r w:rsidRPr="00B75062">
        <w:rPr>
          <w:rFonts w:ascii="Times New Roman" w:hAnsi="Times New Roman"/>
        </w:rPr>
        <w:tab/>
      </w:r>
      <w:r>
        <w:rPr>
          <w:rFonts w:ascii="Times New Roman" w:hAnsi="Times New Roman"/>
        </w:rPr>
        <w:tab/>
      </w:r>
      <w:r w:rsidRPr="00B75062">
        <w:rPr>
          <w:rFonts w:ascii="Times New Roman" w:hAnsi="Times New Roman"/>
        </w:rPr>
        <w:t>Millions de tonnes d'équivalent pétrole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MW</w:t>
      </w:r>
      <w:r w:rsidRPr="00B75062">
        <w:rPr>
          <w:rFonts w:ascii="Times New Roman" w:hAnsi="Times New Roman"/>
        </w:rPr>
        <w:tab/>
      </w:r>
      <w:r>
        <w:rPr>
          <w:rFonts w:ascii="Times New Roman" w:hAnsi="Times New Roman"/>
        </w:rPr>
        <w:tab/>
      </w:r>
      <w:r w:rsidRPr="00B75062">
        <w:rPr>
          <w:rFonts w:ascii="Times New Roman" w:hAnsi="Times New Roman"/>
        </w:rPr>
        <w:t xml:space="preserve">Mégawatt </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MWh</w:t>
      </w:r>
      <w:r w:rsidRPr="00B75062">
        <w:rPr>
          <w:rFonts w:ascii="Times New Roman" w:hAnsi="Times New Roman"/>
        </w:rPr>
        <w:tab/>
      </w:r>
      <w:r>
        <w:rPr>
          <w:rFonts w:ascii="Times New Roman" w:hAnsi="Times New Roman"/>
        </w:rPr>
        <w:tab/>
      </w:r>
      <w:r w:rsidRPr="00B75062">
        <w:rPr>
          <w:rFonts w:ascii="Times New Roman" w:hAnsi="Times New Roman"/>
        </w:rPr>
        <w:t>Mégawatt-heure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ONG</w:t>
      </w:r>
      <w:r w:rsidRPr="00B75062">
        <w:rPr>
          <w:rFonts w:ascii="Times New Roman" w:hAnsi="Times New Roman"/>
        </w:rPr>
        <w:tab/>
      </w:r>
      <w:r>
        <w:rPr>
          <w:rFonts w:ascii="Times New Roman" w:hAnsi="Times New Roman"/>
        </w:rPr>
        <w:tab/>
      </w:r>
      <w:r w:rsidRPr="00B75062">
        <w:rPr>
          <w:rFonts w:ascii="Times New Roman" w:hAnsi="Times New Roman"/>
        </w:rPr>
        <w:t>Organisation non gouvernementale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PANA</w:t>
      </w:r>
      <w:r w:rsidRPr="00B75062">
        <w:rPr>
          <w:rFonts w:ascii="Times New Roman" w:hAnsi="Times New Roman"/>
        </w:rPr>
        <w:tab/>
      </w:r>
      <w:r>
        <w:rPr>
          <w:rFonts w:ascii="Times New Roman" w:hAnsi="Times New Roman"/>
        </w:rPr>
        <w:tab/>
      </w:r>
      <w:r w:rsidRPr="00B75062">
        <w:rPr>
          <w:rFonts w:ascii="Times New Roman" w:hAnsi="Times New Roman"/>
        </w:rPr>
        <w:t>Plan d’action national d’adaptation aux changements climatiques</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PIF</w:t>
      </w:r>
      <w:r w:rsidRPr="00B75062">
        <w:rPr>
          <w:rFonts w:ascii="Times New Roman" w:hAnsi="Times New Roman"/>
        </w:rPr>
        <w:tab/>
      </w:r>
      <w:r>
        <w:rPr>
          <w:rFonts w:ascii="Times New Roman" w:hAnsi="Times New Roman"/>
        </w:rPr>
        <w:tab/>
      </w:r>
      <w:r w:rsidRPr="00B75062">
        <w:rPr>
          <w:rFonts w:ascii="Times New Roman" w:hAnsi="Times New Roman"/>
        </w:rPr>
        <w:t>Formulaire d'identification du projet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PIR</w:t>
      </w:r>
      <w:r w:rsidRPr="00B75062">
        <w:rPr>
          <w:rFonts w:ascii="Times New Roman" w:hAnsi="Times New Roman"/>
        </w:rPr>
        <w:tab/>
      </w:r>
      <w:r>
        <w:rPr>
          <w:rFonts w:ascii="Times New Roman" w:hAnsi="Times New Roman"/>
        </w:rPr>
        <w:tab/>
      </w:r>
      <w:r w:rsidRPr="00B75062">
        <w:rPr>
          <w:rFonts w:ascii="Times New Roman" w:hAnsi="Times New Roman"/>
        </w:rPr>
        <w:t>Examen de la mise en œuvre du projet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PMU</w:t>
      </w:r>
      <w:r w:rsidRPr="00B75062">
        <w:rPr>
          <w:rFonts w:ascii="Times New Roman" w:hAnsi="Times New Roman"/>
        </w:rPr>
        <w:tab/>
      </w:r>
      <w:r>
        <w:rPr>
          <w:rFonts w:ascii="Times New Roman" w:hAnsi="Times New Roman"/>
        </w:rPr>
        <w:tab/>
      </w:r>
      <w:r w:rsidRPr="00B75062">
        <w:rPr>
          <w:rFonts w:ascii="Times New Roman" w:hAnsi="Times New Roman"/>
        </w:rPr>
        <w:t>Unité de gestion de projet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PNIASA</w:t>
      </w:r>
      <w:r w:rsidRPr="00B75062">
        <w:rPr>
          <w:rFonts w:ascii="Times New Roman" w:hAnsi="Times New Roman"/>
        </w:rPr>
        <w:tab/>
        <w:t>Plan national d'investissement agricole et de sécurité alimentaire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PNUAD</w:t>
      </w:r>
      <w:r w:rsidRPr="00B75062">
        <w:rPr>
          <w:rFonts w:ascii="Times New Roman" w:hAnsi="Times New Roman"/>
        </w:rPr>
        <w:tab/>
        <w:t>Plan-cadre des Nations Unies pour l'aide au développement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PNUD</w:t>
      </w:r>
      <w:r w:rsidRPr="00B75062">
        <w:rPr>
          <w:rFonts w:ascii="Times New Roman" w:hAnsi="Times New Roman"/>
        </w:rPr>
        <w:tab/>
      </w:r>
      <w:r>
        <w:rPr>
          <w:rFonts w:ascii="Times New Roman" w:hAnsi="Times New Roman"/>
        </w:rPr>
        <w:tab/>
      </w:r>
      <w:r w:rsidRPr="00B75062">
        <w:rPr>
          <w:rFonts w:ascii="Times New Roman" w:hAnsi="Times New Roman"/>
        </w:rPr>
        <w:t>Programme des Nations Unies pour le développement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PPA</w:t>
      </w:r>
      <w:r w:rsidRPr="00B75062">
        <w:rPr>
          <w:rFonts w:ascii="Times New Roman" w:hAnsi="Times New Roman"/>
        </w:rPr>
        <w:tab/>
      </w:r>
      <w:r>
        <w:rPr>
          <w:rFonts w:ascii="Times New Roman" w:hAnsi="Times New Roman"/>
        </w:rPr>
        <w:tab/>
      </w:r>
      <w:r w:rsidRPr="00B75062">
        <w:rPr>
          <w:rFonts w:ascii="Times New Roman" w:hAnsi="Times New Roman"/>
        </w:rPr>
        <w:t>Contrat d'achat d'électricité</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PPG</w:t>
      </w:r>
      <w:r w:rsidRPr="00B75062">
        <w:rPr>
          <w:rFonts w:ascii="Times New Roman" w:hAnsi="Times New Roman"/>
        </w:rPr>
        <w:tab/>
      </w:r>
      <w:r>
        <w:rPr>
          <w:rFonts w:ascii="Times New Roman" w:hAnsi="Times New Roman"/>
        </w:rPr>
        <w:tab/>
      </w:r>
      <w:r w:rsidRPr="00B75062">
        <w:rPr>
          <w:rFonts w:ascii="Times New Roman" w:hAnsi="Times New Roman"/>
        </w:rPr>
        <w:t>Financement pour la préparation du projet</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PRONIASE</w:t>
      </w:r>
      <w:r w:rsidRPr="00B75062">
        <w:rPr>
          <w:rFonts w:ascii="Times New Roman" w:hAnsi="Times New Roman"/>
        </w:rPr>
        <w:tab/>
        <w:t>Programme national intégré d'accès aux services énergétiques</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QPR</w:t>
      </w:r>
      <w:r w:rsidRPr="00B75062">
        <w:rPr>
          <w:rFonts w:ascii="Times New Roman" w:hAnsi="Times New Roman"/>
        </w:rPr>
        <w:tab/>
      </w:r>
      <w:r>
        <w:rPr>
          <w:rFonts w:ascii="Times New Roman" w:hAnsi="Times New Roman"/>
        </w:rPr>
        <w:tab/>
      </w:r>
      <w:r w:rsidRPr="00B75062">
        <w:rPr>
          <w:rFonts w:ascii="Times New Roman" w:hAnsi="Times New Roman"/>
        </w:rPr>
        <w:t>Rapport d'étape trimestriel</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REDD</w:t>
      </w:r>
      <w:r w:rsidRPr="00B75062">
        <w:rPr>
          <w:rFonts w:ascii="Times New Roman" w:hAnsi="Times New Roman"/>
        </w:rPr>
        <w:tab/>
      </w:r>
      <w:r>
        <w:rPr>
          <w:rFonts w:ascii="Times New Roman" w:hAnsi="Times New Roman"/>
        </w:rPr>
        <w:tab/>
      </w:r>
      <w:r w:rsidRPr="00B75062">
        <w:rPr>
          <w:rFonts w:ascii="Times New Roman" w:hAnsi="Times New Roman"/>
        </w:rPr>
        <w:t>Réduction des émissions liées à la déforestation et à la dégradation des forêts</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RSC</w:t>
      </w:r>
      <w:r w:rsidRPr="00B75062">
        <w:rPr>
          <w:rFonts w:ascii="Times New Roman" w:hAnsi="Times New Roman"/>
        </w:rPr>
        <w:tab/>
      </w:r>
      <w:r>
        <w:rPr>
          <w:rFonts w:ascii="Times New Roman" w:hAnsi="Times New Roman"/>
        </w:rPr>
        <w:tab/>
      </w:r>
      <w:r w:rsidRPr="00B75062">
        <w:rPr>
          <w:rFonts w:ascii="Times New Roman" w:hAnsi="Times New Roman"/>
        </w:rPr>
        <w:t>Centre de service régional du PNUD</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RTA</w:t>
      </w:r>
      <w:r w:rsidRPr="00B75062">
        <w:rPr>
          <w:rFonts w:ascii="Times New Roman" w:hAnsi="Times New Roman"/>
        </w:rPr>
        <w:tab/>
      </w:r>
      <w:r>
        <w:rPr>
          <w:rFonts w:ascii="Times New Roman" w:hAnsi="Times New Roman"/>
        </w:rPr>
        <w:tab/>
      </w:r>
      <w:r w:rsidRPr="00B75062">
        <w:rPr>
          <w:rFonts w:ascii="Times New Roman" w:hAnsi="Times New Roman"/>
        </w:rPr>
        <w:t>Conseiller technique régional du PNUD</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S&amp;E</w:t>
      </w:r>
      <w:r w:rsidRPr="00B75062">
        <w:rPr>
          <w:rFonts w:ascii="Times New Roman" w:hAnsi="Times New Roman"/>
        </w:rPr>
        <w:tab/>
      </w:r>
      <w:r>
        <w:rPr>
          <w:rFonts w:ascii="Times New Roman" w:hAnsi="Times New Roman"/>
        </w:rPr>
        <w:tab/>
      </w:r>
      <w:r w:rsidRPr="00B75062">
        <w:rPr>
          <w:rFonts w:ascii="Times New Roman" w:hAnsi="Times New Roman"/>
        </w:rPr>
        <w:t>Suivi et évaluation</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lastRenderedPageBreak/>
        <w:t>SE4ALL</w:t>
      </w:r>
      <w:r w:rsidRPr="00B75062">
        <w:rPr>
          <w:rFonts w:ascii="Times New Roman" w:hAnsi="Times New Roman"/>
        </w:rPr>
        <w:tab/>
        <w:t>Énergie durable pour tous</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tep</w:t>
      </w:r>
      <w:r w:rsidRPr="00B75062">
        <w:rPr>
          <w:rFonts w:ascii="Times New Roman" w:hAnsi="Times New Roman"/>
        </w:rPr>
        <w:tab/>
      </w:r>
      <w:bookmarkStart w:id="6" w:name="OLE_LINK13"/>
      <w:bookmarkStart w:id="7" w:name="OLE_LINK14"/>
      <w:r>
        <w:rPr>
          <w:rFonts w:ascii="Times New Roman" w:hAnsi="Times New Roman"/>
        </w:rPr>
        <w:tab/>
      </w:r>
      <w:r w:rsidRPr="00B75062">
        <w:rPr>
          <w:rFonts w:ascii="Times New Roman" w:hAnsi="Times New Roman"/>
        </w:rPr>
        <w:t xml:space="preserve">Tonne d'équivalent pétrole </w:t>
      </w:r>
      <w:bookmarkEnd w:id="6"/>
      <w:bookmarkEnd w:id="7"/>
    </w:p>
    <w:p w:rsidR="00BE553F" w:rsidRPr="00B75062" w:rsidRDefault="00BE553F" w:rsidP="00BE553F">
      <w:pPr>
        <w:autoSpaceDN w:val="0"/>
        <w:jc w:val="left"/>
        <w:rPr>
          <w:rFonts w:ascii="Times New Roman" w:hAnsi="Times New Roman"/>
          <w:szCs w:val="22"/>
        </w:rPr>
      </w:pPr>
      <w:r w:rsidRPr="00B75062">
        <w:rPr>
          <w:rFonts w:ascii="Times New Roman" w:hAnsi="Times New Roman"/>
        </w:rPr>
        <w:t>TPR</w:t>
      </w:r>
      <w:r w:rsidRPr="00B75062">
        <w:rPr>
          <w:rFonts w:ascii="Times New Roman" w:hAnsi="Times New Roman"/>
        </w:rPr>
        <w:tab/>
      </w:r>
      <w:r>
        <w:rPr>
          <w:rFonts w:ascii="Times New Roman" w:hAnsi="Times New Roman"/>
        </w:rPr>
        <w:tab/>
      </w:r>
      <w:r w:rsidRPr="00B75062">
        <w:rPr>
          <w:rFonts w:ascii="Times New Roman" w:hAnsi="Times New Roman"/>
        </w:rPr>
        <w:t>Examen tripartite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TTR</w:t>
      </w:r>
      <w:r w:rsidRPr="00B75062">
        <w:rPr>
          <w:rFonts w:ascii="Times New Roman" w:hAnsi="Times New Roman"/>
        </w:rPr>
        <w:tab/>
      </w:r>
      <w:r>
        <w:rPr>
          <w:rFonts w:ascii="Times New Roman" w:hAnsi="Times New Roman"/>
        </w:rPr>
        <w:tab/>
      </w:r>
      <w:r w:rsidRPr="00B75062">
        <w:rPr>
          <w:rFonts w:ascii="Times New Roman" w:hAnsi="Times New Roman"/>
        </w:rPr>
        <w:t xml:space="preserve">Examen tripartite final </w:t>
      </w:r>
    </w:p>
    <w:p w:rsidR="00BE553F" w:rsidRPr="00B75062" w:rsidRDefault="00BE553F" w:rsidP="00BE553F">
      <w:pPr>
        <w:pStyle w:val="BankNormal"/>
        <w:spacing w:after="60"/>
        <w:rPr>
          <w:sz w:val="22"/>
          <w:szCs w:val="22"/>
        </w:rPr>
      </w:pPr>
      <w:r w:rsidRPr="00B75062">
        <w:rPr>
          <w:sz w:val="22"/>
        </w:rPr>
        <w:t>UE</w:t>
      </w:r>
      <w:r w:rsidRPr="00B75062">
        <w:rPr>
          <w:sz w:val="22"/>
        </w:rPr>
        <w:tab/>
      </w:r>
      <w:r>
        <w:rPr>
          <w:sz w:val="22"/>
        </w:rPr>
        <w:tab/>
      </w:r>
      <w:r w:rsidRPr="00B75062">
        <w:rPr>
          <w:sz w:val="22"/>
        </w:rPr>
        <w:t>Union européenne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UTCATF</w:t>
      </w:r>
      <w:r w:rsidRPr="00B75062">
        <w:rPr>
          <w:rFonts w:ascii="Times New Roman" w:hAnsi="Times New Roman"/>
        </w:rPr>
        <w:tab/>
        <w:t>Utilisation des terres, changement d'affectation des terres et foresterie</w:t>
      </w:r>
    </w:p>
    <w:p w:rsidR="00BE553F" w:rsidRPr="00B75062" w:rsidRDefault="00BE553F" w:rsidP="00BE553F">
      <w:pPr>
        <w:autoSpaceDN w:val="0"/>
        <w:jc w:val="left"/>
        <w:rPr>
          <w:rFonts w:ascii="Times New Roman" w:hAnsi="Times New Roman"/>
          <w:szCs w:val="22"/>
        </w:rPr>
      </w:pPr>
      <w:r w:rsidRPr="00B75062">
        <w:rPr>
          <w:rFonts w:ascii="Times New Roman" w:hAnsi="Times New Roman"/>
        </w:rPr>
        <w:t>$</w:t>
      </w:r>
      <w:r w:rsidRPr="00B75062">
        <w:rPr>
          <w:rFonts w:ascii="Times New Roman" w:hAnsi="Times New Roman"/>
        </w:rPr>
        <w:tab/>
      </w:r>
      <w:r>
        <w:rPr>
          <w:rFonts w:ascii="Times New Roman" w:hAnsi="Times New Roman"/>
        </w:rPr>
        <w:tab/>
      </w:r>
      <w:r w:rsidRPr="00B75062">
        <w:rPr>
          <w:rFonts w:ascii="Times New Roman" w:hAnsi="Times New Roman"/>
        </w:rPr>
        <w:t>Dollar américain</w:t>
      </w:r>
    </w:p>
    <w:p w:rsidR="00DE5F23" w:rsidRPr="001F1343" w:rsidRDefault="00DE5F23" w:rsidP="00B934BF">
      <w:pPr>
        <w:autoSpaceDN w:val="0"/>
        <w:rPr>
          <w:rFonts w:ascii="Times New Roman" w:hAnsi="Times New Roman"/>
          <w:szCs w:val="22"/>
        </w:rPr>
      </w:pPr>
    </w:p>
    <w:p w:rsidR="00E85D71" w:rsidRPr="001F1343" w:rsidRDefault="00CA7034" w:rsidP="000C4537">
      <w:pPr>
        <w:pStyle w:val="Titre1"/>
        <w:numPr>
          <w:ilvl w:val="0"/>
          <w:numId w:val="10"/>
        </w:numPr>
        <w:autoSpaceDE w:val="0"/>
        <w:autoSpaceDN w:val="0"/>
        <w:adjustRightInd w:val="0"/>
        <w:spacing w:after="0"/>
        <w:ind w:right="-360"/>
        <w:rPr>
          <w:rFonts w:ascii="Times New Roman" w:hAnsi="Times New Roman"/>
          <w:bCs/>
          <w:szCs w:val="22"/>
        </w:rPr>
      </w:pPr>
      <w:r>
        <w:br w:type="page"/>
      </w:r>
      <w:bookmarkStart w:id="8" w:name="_Toc207800909"/>
      <w:bookmarkStart w:id="9" w:name="_Toc285354077"/>
      <w:bookmarkStart w:id="10" w:name="_Toc340830966"/>
      <w:bookmarkStart w:id="11" w:name="_Toc262924475"/>
      <w:bookmarkStart w:id="12" w:name="_Toc418144237"/>
      <w:bookmarkStart w:id="13" w:name="_Toc298586286"/>
      <w:r>
        <w:rPr>
          <w:sz w:val="28"/>
        </w:rPr>
        <w:lastRenderedPageBreak/>
        <w:t>Analyse de la situation</w:t>
      </w:r>
      <w:bookmarkEnd w:id="8"/>
      <w:bookmarkEnd w:id="9"/>
      <w:bookmarkEnd w:id="10"/>
      <w:bookmarkEnd w:id="11"/>
      <w:bookmarkEnd w:id="12"/>
      <w:bookmarkEnd w:id="13"/>
    </w:p>
    <w:p w:rsidR="003A684B" w:rsidRPr="001F1343" w:rsidRDefault="00CA7034" w:rsidP="008C3876">
      <w:pPr>
        <w:pStyle w:val="Titre1"/>
        <w:autoSpaceDE w:val="0"/>
        <w:autoSpaceDN w:val="0"/>
        <w:adjustRightInd w:val="0"/>
        <w:spacing w:after="0"/>
        <w:ind w:left="-360" w:right="-360" w:hanging="180"/>
        <w:rPr>
          <w:rFonts w:ascii="Times New Roman" w:hAnsi="Times New Roman"/>
          <w:bCs/>
          <w:szCs w:val="22"/>
        </w:rPr>
      </w:pPr>
      <w:bookmarkStart w:id="14" w:name="_Toc418144238"/>
      <w:bookmarkStart w:id="15" w:name="_Toc298586287"/>
      <w:r>
        <w:rPr>
          <w:rFonts w:ascii="Times New Roman" w:hAnsi="Times New Roman"/>
        </w:rPr>
        <w:t>Contexte</w:t>
      </w:r>
      <w:bookmarkEnd w:id="14"/>
      <w:bookmarkEnd w:id="15"/>
      <w:r>
        <w:rPr>
          <w:rFonts w:ascii="Times New Roman" w:hAnsi="Times New Roman"/>
        </w:rPr>
        <w:t xml:space="preserve"> </w:t>
      </w:r>
    </w:p>
    <w:p w:rsidR="00824923" w:rsidRPr="001F1343" w:rsidRDefault="00824923" w:rsidP="008C3876">
      <w:pPr>
        <w:tabs>
          <w:tab w:val="num" w:pos="-270"/>
        </w:tabs>
        <w:autoSpaceDE w:val="0"/>
        <w:autoSpaceDN w:val="0"/>
        <w:adjustRightInd w:val="0"/>
        <w:spacing w:after="200"/>
        <w:ind w:left="-540" w:right="-518"/>
        <w:rPr>
          <w:rFonts w:ascii="Times New Roman" w:hAnsi="Times New Roman"/>
          <w:bCs/>
          <w:szCs w:val="22"/>
        </w:rPr>
      </w:pPr>
    </w:p>
    <w:p w:rsidR="00E85D71" w:rsidRPr="001F1343" w:rsidRDefault="0024411E" w:rsidP="008C3876">
      <w:pPr>
        <w:tabs>
          <w:tab w:val="num" w:pos="-270"/>
        </w:tabs>
        <w:autoSpaceDE w:val="0"/>
        <w:autoSpaceDN w:val="0"/>
        <w:adjustRightInd w:val="0"/>
        <w:spacing w:after="200"/>
        <w:ind w:left="-540" w:right="-518"/>
        <w:rPr>
          <w:rFonts w:ascii="Times New Roman" w:hAnsi="Times New Roman"/>
          <w:bCs/>
          <w:szCs w:val="22"/>
        </w:rPr>
      </w:pPr>
      <w:r>
        <w:rPr>
          <w:noProof/>
        </w:rPr>
        <w:drawing>
          <wp:anchor distT="0" distB="0" distL="114300" distR="114300" simplePos="0" relativeHeight="251656704" behindDoc="0" locked="0" layoutInCell="1" allowOverlap="1">
            <wp:simplePos x="0" y="0"/>
            <wp:positionH relativeFrom="margin">
              <wp:posOffset>2309495</wp:posOffset>
            </wp:positionH>
            <wp:positionV relativeFrom="paragraph">
              <wp:posOffset>720090</wp:posOffset>
            </wp:positionV>
            <wp:extent cx="3977005" cy="3362325"/>
            <wp:effectExtent l="0" t="0" r="10795"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7005" cy="3362325"/>
                    </a:xfrm>
                    <a:prstGeom prst="rect">
                      <a:avLst/>
                    </a:prstGeom>
                    <a:noFill/>
                    <a:ln>
                      <a:noFill/>
                    </a:ln>
                  </pic:spPr>
                </pic:pic>
              </a:graphicData>
            </a:graphic>
          </wp:anchor>
        </w:drawing>
      </w:r>
      <w:r w:rsidR="00CA7034">
        <w:rPr>
          <w:rFonts w:ascii="Times New Roman" w:hAnsi="Times New Roman"/>
        </w:rPr>
        <w:t>La République de Guinée se situe en Afrique de l'Ouest, sa capitale étant Conakry.</w:t>
      </w:r>
      <w:r w:rsidR="000E6CB0">
        <w:rPr>
          <w:rFonts w:ascii="Times New Roman" w:hAnsi="Times New Roman"/>
        </w:rPr>
        <w:t xml:space="preserve"> </w:t>
      </w:r>
      <w:r w:rsidR="00CA7034">
        <w:rPr>
          <w:rFonts w:ascii="Times New Roman" w:hAnsi="Times New Roman"/>
        </w:rPr>
        <w:t xml:space="preserve">Elle partage des frontières avec la Guinée-Bissau, le Sénégal et le Mali au Nord, le Libéria et la Sierra Leone au Sud, la Côte d'Ivoire à l'Est. À l'Ouest, elle est délimitée par l'océan Atlantique, et son littoral s'étend sur 300 km. Elle est parfois appelée Guinée-Conakry afin de la distinguer de 2 autres pays aux noms similaires : au Nord sa voisine la Guinée-Bissau, et la République de Guinée équatoriale au Sud-Est le long de l'océan Atlantique. Sa population s'élève à 10,7 millions d'habitants (résultats préliminaires du recensement de 2013), elle est à 64 % rurale et 36 % urbaine, et </w:t>
      </w:r>
      <w:r w:rsidR="006E299C">
        <w:rPr>
          <w:rFonts w:ascii="Times New Roman" w:hAnsi="Times New Roman"/>
        </w:rPr>
        <w:t>son territoire s'étend</w:t>
      </w:r>
      <w:r w:rsidR="00CA7034">
        <w:rPr>
          <w:rFonts w:ascii="Times New Roman" w:hAnsi="Times New Roman"/>
        </w:rPr>
        <w:t xml:space="preserve"> sur 245 857 km</w:t>
      </w:r>
      <w:r w:rsidR="00CA7034">
        <w:rPr>
          <w:rFonts w:ascii="Times New Roman" w:hAnsi="Times New Roman"/>
          <w:vertAlign w:val="superscript"/>
        </w:rPr>
        <w:t>2</w:t>
      </w:r>
      <w:r w:rsidR="00CA7034">
        <w:rPr>
          <w:rFonts w:ascii="Times New Roman" w:hAnsi="Times New Roman"/>
        </w:rPr>
        <w:t xml:space="preserve">. </w:t>
      </w:r>
    </w:p>
    <w:p w:rsidR="00CA41E3" w:rsidRDefault="00CA7034" w:rsidP="00CA41E3">
      <w:pPr>
        <w:autoSpaceDE w:val="0"/>
        <w:autoSpaceDN w:val="0"/>
        <w:adjustRightInd w:val="0"/>
        <w:spacing w:after="0"/>
        <w:ind w:left="-547" w:right="-518"/>
        <w:rPr>
          <w:rFonts w:ascii="Times New Roman" w:hAnsi="Times New Roman"/>
        </w:rPr>
      </w:pPr>
      <w:r>
        <w:rPr>
          <w:rFonts w:ascii="Times New Roman" w:hAnsi="Times New Roman"/>
        </w:rPr>
        <w:t>Avec un PIB par habitant de l'ordre de 436 $ (Institut national de la statistique, 2013</w:t>
      </w:r>
      <w:r>
        <w:rPr>
          <w:rFonts w:ascii="Times New Roman" w:hAnsi="Times New Roman"/>
          <w:b/>
        </w:rPr>
        <w:t>),</w:t>
      </w:r>
      <w:r>
        <w:rPr>
          <w:rFonts w:ascii="Times New Roman" w:hAnsi="Times New Roman"/>
        </w:rPr>
        <w:t xml:space="preserve"> la Guinée est qualifiée de pays à faible revenu ; en 2013, 55,2 % de sa population vivait dans la pauvreté. La Guinée dépend largement des ressources du FMI, via sa Facilité élargie de crédit, et d'autres donateurs, afin de réduire les déséquilibres macroéconomiques. En 2012, en dépit de la crise internationale, l'activité économique est restée élevée, soutenue par un accroissement des investissements dans le secteur agricole et minier.</w:t>
      </w:r>
      <w:r w:rsidR="000E6CB0">
        <w:rPr>
          <w:rFonts w:ascii="Times New Roman" w:hAnsi="Times New Roman"/>
        </w:rPr>
        <w:t xml:space="preserve"> </w:t>
      </w:r>
      <w:r>
        <w:rPr>
          <w:rFonts w:ascii="Times New Roman" w:hAnsi="Times New Roman"/>
        </w:rPr>
        <w:t>Alors qu'il s'élevait à 1,9 % en 2010, le PIB réel a augmenté de 3,9 % en 2011, pour atteindre ensuite 4,8 % en 2012, et l'inflation, de l'ordre de 12,8 % en 2012, s'élève actuellement à 11,9 %.</w:t>
      </w:r>
      <w:r w:rsidR="000E6CB0">
        <w:rPr>
          <w:rFonts w:ascii="Times New Roman" w:hAnsi="Times New Roman"/>
        </w:rPr>
        <w:t xml:space="preserve"> </w:t>
      </w:r>
      <w:r>
        <w:rPr>
          <w:rFonts w:ascii="Times New Roman" w:hAnsi="Times New Roman"/>
        </w:rPr>
        <w:t>Toutefois, les difficultés liées à l'approvisionnement en électricité continuent de nuire aux activités économiques</w:t>
      </w:r>
      <w:r w:rsidR="00CA41E3">
        <w:rPr>
          <w:rFonts w:ascii="Times New Roman" w:hAnsi="Times New Roman"/>
        </w:rPr>
        <w:t>.</w:t>
      </w:r>
    </w:p>
    <w:p w:rsidR="008C3876" w:rsidRPr="00CA41E3" w:rsidRDefault="00CA7034" w:rsidP="00CA41E3">
      <w:pPr>
        <w:autoSpaceDE w:val="0"/>
        <w:autoSpaceDN w:val="0"/>
        <w:adjustRightInd w:val="0"/>
        <w:spacing w:after="200"/>
        <w:ind w:left="-540" w:right="-518"/>
        <w:rPr>
          <w:rFonts w:ascii="Times New Roman" w:hAnsi="Times New Roman"/>
        </w:rPr>
      </w:pPr>
      <w:r>
        <w:rPr>
          <w:rFonts w:ascii="Times New Roman" w:hAnsi="Times New Roman"/>
          <w:b/>
        </w:rPr>
        <w:t>Fig. 1 : Carte de la Guinée</w:t>
      </w:r>
    </w:p>
    <w:p w:rsidR="00E85D71" w:rsidRPr="001F1343" w:rsidRDefault="00CA7034" w:rsidP="0039109C">
      <w:pPr>
        <w:tabs>
          <w:tab w:val="num" w:pos="-540"/>
        </w:tabs>
        <w:autoSpaceDE w:val="0"/>
        <w:autoSpaceDN w:val="0"/>
        <w:adjustRightInd w:val="0"/>
        <w:spacing w:after="200"/>
        <w:ind w:left="-540" w:right="-608"/>
        <w:rPr>
          <w:rFonts w:ascii="Times New Roman" w:hAnsi="Times New Roman"/>
          <w:bCs/>
          <w:szCs w:val="22"/>
        </w:rPr>
      </w:pPr>
      <w:r>
        <w:rPr>
          <w:rFonts w:ascii="Times New Roman" w:hAnsi="Times New Roman"/>
        </w:rPr>
        <w:t xml:space="preserve">La Guinée est composée de 4 régions naturelles distinctes : la Guinée Maritime (Ouest), la Moyenne Guinée (Nord), la Haute Guinée (Nord-Est) et la Guinée Forestière (Sud-Est). Ces régions présentent des caractéristiques géostructurelles et écologiques différentes, chacune correspondant à des conditions climatiques spécifiques dépendant du type de sol, de la faune, de la flore, des températures, des précipitations, etc. Les ressources hydriques sont abondantes en Guinée Maritime et Moyenne Guinée, moyennes en Haute Guinée, et inférieures à la moyenne en Guinée Forestière. Le pays dépend largement de l'agriculture et de la production minérale (principalement la bauxite et l'alumine, bien que </w:t>
      </w:r>
      <w:r w:rsidR="006E299C">
        <w:rPr>
          <w:rFonts w:ascii="Times New Roman" w:hAnsi="Times New Roman"/>
        </w:rPr>
        <w:t>des gisements de</w:t>
      </w:r>
      <w:r>
        <w:rPr>
          <w:rFonts w:ascii="Times New Roman" w:hAnsi="Times New Roman"/>
        </w:rPr>
        <w:t xml:space="preserve"> diamant et </w:t>
      </w:r>
      <w:r w:rsidR="006E299C">
        <w:rPr>
          <w:rFonts w:ascii="Times New Roman" w:hAnsi="Times New Roman"/>
        </w:rPr>
        <w:t>d</w:t>
      </w:r>
      <w:r>
        <w:rPr>
          <w:rFonts w:ascii="Times New Roman" w:hAnsi="Times New Roman"/>
        </w:rPr>
        <w:t xml:space="preserve">'or soient également </w:t>
      </w:r>
      <w:r w:rsidR="006E299C">
        <w:rPr>
          <w:rFonts w:ascii="Times New Roman" w:hAnsi="Times New Roman"/>
        </w:rPr>
        <w:t>exploités</w:t>
      </w:r>
      <w:r>
        <w:rPr>
          <w:rFonts w:ascii="Times New Roman" w:hAnsi="Times New Roman"/>
        </w:rPr>
        <w:t>), ce dernier secteur étant très exposé au changement climatique.</w:t>
      </w:r>
    </w:p>
    <w:p w:rsidR="0039109C" w:rsidRPr="001F1343" w:rsidRDefault="00CA7034" w:rsidP="0039109C">
      <w:pPr>
        <w:autoSpaceDE w:val="0"/>
        <w:autoSpaceDN w:val="0"/>
        <w:adjustRightInd w:val="0"/>
        <w:spacing w:after="200"/>
        <w:ind w:left="-540" w:right="-608"/>
        <w:rPr>
          <w:rFonts w:ascii="Times New Roman" w:hAnsi="Times New Roman"/>
          <w:bCs/>
          <w:szCs w:val="22"/>
        </w:rPr>
      </w:pPr>
      <w:r>
        <w:rPr>
          <w:rFonts w:ascii="Times New Roman" w:hAnsi="Times New Roman"/>
        </w:rPr>
        <w:t>L'agriculture constitue la principale activité pour presque 80 % de la population guinéenne et le principal moyen de subsistance pou</w:t>
      </w:r>
      <w:r w:rsidR="006F7F4D">
        <w:rPr>
          <w:rFonts w:ascii="Times New Roman" w:hAnsi="Times New Roman"/>
        </w:rPr>
        <w:t>r 57 % de la population rurale.</w:t>
      </w:r>
      <w:r>
        <w:rPr>
          <w:rFonts w:ascii="Times New Roman" w:hAnsi="Times New Roman"/>
        </w:rPr>
        <w:t xml:space="preserve"> Comme c'est le cas dans la plupart des pays africains, l'agriculture est essentielle afin d'atteindre les objectifs de réduction de la pauvr</w:t>
      </w:r>
      <w:r w:rsidR="006F7F4D">
        <w:rPr>
          <w:rFonts w:ascii="Times New Roman" w:hAnsi="Times New Roman"/>
        </w:rPr>
        <w:t>eté et de sécurité alimentaire.</w:t>
      </w:r>
      <w:r>
        <w:rPr>
          <w:rFonts w:ascii="Times New Roman" w:hAnsi="Times New Roman"/>
        </w:rPr>
        <w:t xml:space="preserve"> L'agriculture guinéenne est extensive, dominée par un système d'élevage traditionnel et dépendant en grande p</w:t>
      </w:r>
      <w:r w:rsidR="006608EA">
        <w:rPr>
          <w:rFonts w:ascii="Times New Roman" w:hAnsi="Times New Roman"/>
        </w:rPr>
        <w:t>artie des précipitations pour 95 </w:t>
      </w:r>
      <w:r>
        <w:rPr>
          <w:rFonts w:ascii="Times New Roman" w:hAnsi="Times New Roman"/>
        </w:rPr>
        <w:t>% des terres cultivées ; la proportion des terres ir</w:t>
      </w:r>
      <w:r w:rsidR="006608EA">
        <w:rPr>
          <w:rFonts w:ascii="Times New Roman" w:hAnsi="Times New Roman"/>
        </w:rPr>
        <w:t>riguées est insignifiante (30 2</w:t>
      </w:r>
      <w:r>
        <w:rPr>
          <w:rFonts w:ascii="Times New Roman" w:hAnsi="Times New Roman"/>
        </w:rPr>
        <w:t>00 hectares). L'agriculture contribue à moins de 20 % du PIB et sa part a constamment diminué au cours des dernières années.</w:t>
      </w:r>
    </w:p>
    <w:p w:rsidR="0039109C" w:rsidRPr="001F1343" w:rsidRDefault="00CA7034" w:rsidP="0039109C">
      <w:pPr>
        <w:autoSpaceDE w:val="0"/>
        <w:autoSpaceDN w:val="0"/>
        <w:adjustRightInd w:val="0"/>
        <w:spacing w:after="200"/>
        <w:ind w:left="-540" w:right="-608"/>
        <w:rPr>
          <w:rFonts w:ascii="Times New Roman" w:hAnsi="Times New Roman"/>
          <w:bCs/>
          <w:szCs w:val="22"/>
        </w:rPr>
      </w:pPr>
      <w:r>
        <w:rPr>
          <w:rFonts w:ascii="Times New Roman" w:hAnsi="Times New Roman"/>
        </w:rPr>
        <w:t xml:space="preserve">La majorité de la population (plus de 80 %) travaille dans le secteur agricole et de l'élevage. En 2013, le bétail était estimé à 28 millions de têtes, avec 5,8 millions de bovins, 1,5 million de moutons, 2,4 millions de chèvres, 0,13 million </w:t>
      </w:r>
      <w:r>
        <w:rPr>
          <w:rFonts w:ascii="Times New Roman" w:hAnsi="Times New Roman"/>
        </w:rPr>
        <w:lastRenderedPageBreak/>
        <w:t>de por</w:t>
      </w:r>
      <w:r w:rsidR="006F7F4D">
        <w:rPr>
          <w:rFonts w:ascii="Times New Roman" w:hAnsi="Times New Roman"/>
        </w:rPr>
        <w:t>cs et 19 millions de volailles.</w:t>
      </w:r>
      <w:r>
        <w:rPr>
          <w:rFonts w:ascii="Times New Roman" w:hAnsi="Times New Roman"/>
        </w:rPr>
        <w:t xml:space="preserve"> La moitié du cheptel bovin se concentre dans le Nord du pays où l'élevage des animaux constitue une forme d'utilisation des terres bien plus importante. Dans cette région, le nombre moyen de têtes de bovins par ménage est de 10, et même de 15 dans certains endroits. Le système d'élevage est intensif lors de la saison des pluies et extensif lors de la saison sèche. La plupart des systèmes d'élevage sont mélangés, le bétail étant toujours associé aux activités agricoles (production de cultures alimentaires). L'agriculture est le secteur économique dominant à travers le pays. Le taux de croissance agricole est de 8 % par an.</w:t>
      </w:r>
    </w:p>
    <w:p w:rsidR="0039109C" w:rsidRPr="001F1343" w:rsidRDefault="00CA7034" w:rsidP="0039109C">
      <w:pPr>
        <w:autoSpaceDE w:val="0"/>
        <w:autoSpaceDN w:val="0"/>
        <w:adjustRightInd w:val="0"/>
        <w:spacing w:after="200"/>
        <w:ind w:left="-540" w:right="-608"/>
        <w:rPr>
          <w:rFonts w:ascii="Times New Roman" w:hAnsi="Times New Roman"/>
          <w:bCs/>
          <w:szCs w:val="22"/>
        </w:rPr>
      </w:pPr>
      <w:r>
        <w:rPr>
          <w:rFonts w:ascii="Times New Roman" w:hAnsi="Times New Roman"/>
        </w:rPr>
        <w:t>La Guinée a un fort potentiel agricole inexploité, les conditions naturelles étant propices à la culture de toute u</w:t>
      </w:r>
      <w:r w:rsidR="006F7F4D">
        <w:rPr>
          <w:rFonts w:ascii="Times New Roman" w:hAnsi="Times New Roman"/>
        </w:rPr>
        <w:t>ne gamme de produits agricoles.</w:t>
      </w:r>
      <w:r>
        <w:rPr>
          <w:rFonts w:ascii="Times New Roman" w:hAnsi="Times New Roman"/>
        </w:rPr>
        <w:t xml:space="preserve"> On estime à 6,2 millions d'hectares les terres arables potentielles, 25 % étant consacrées à l'élevage et moins de 10 % étant cult</w:t>
      </w:r>
      <w:r w:rsidR="006F7F4D">
        <w:rPr>
          <w:rFonts w:ascii="Times New Roman" w:hAnsi="Times New Roman"/>
        </w:rPr>
        <w:t>ivées chaque année.</w:t>
      </w:r>
      <w:r>
        <w:rPr>
          <w:rFonts w:ascii="Times New Roman" w:hAnsi="Times New Roman"/>
        </w:rPr>
        <w:t xml:space="preserve"> En règle générale, la saison des pluies s'étend </w:t>
      </w:r>
      <w:r w:rsidR="00371781">
        <w:rPr>
          <w:rFonts w:ascii="Times New Roman" w:hAnsi="Times New Roman"/>
        </w:rPr>
        <w:t>d’</w:t>
      </w:r>
      <w:r>
        <w:rPr>
          <w:rFonts w:ascii="Times New Roman" w:hAnsi="Times New Roman"/>
        </w:rPr>
        <w:t xml:space="preserve">avril </w:t>
      </w:r>
      <w:r w:rsidR="00371781">
        <w:rPr>
          <w:rFonts w:ascii="Times New Roman" w:hAnsi="Times New Roman"/>
        </w:rPr>
        <w:t>à</w:t>
      </w:r>
      <w:r>
        <w:rPr>
          <w:rFonts w:ascii="Times New Roman" w:hAnsi="Times New Roman"/>
        </w:rPr>
        <w:t xml:space="preserve"> octobre, période au cours de laquelle les précipitations sont abondantes dans certaines régions du pays, entre 1 100 mm au Nord et 4 000 mm dans la région de Conakry. Avec ses sous-produits dérivés de l'agriculture et </w:t>
      </w:r>
      <w:r w:rsidR="00371781">
        <w:rPr>
          <w:rFonts w:ascii="Times New Roman" w:hAnsi="Times New Roman"/>
        </w:rPr>
        <w:t>le bétail utilisé</w:t>
      </w:r>
      <w:r>
        <w:rPr>
          <w:rFonts w:ascii="Times New Roman" w:hAnsi="Times New Roman"/>
        </w:rPr>
        <w:t xml:space="preserve"> à des fins de traction et de production de lait et de viande, le pays dispose d'une ressource assez importante en fumier et résidus de culture pour la production de biogaz, ce qui permet de réduire la pression exercée sur ses ressources naturelles en biomasse. En décembre 2012, le gouvernement guinéen a adopté le Plan national d'investissement agricole et de</w:t>
      </w:r>
      <w:r w:rsidR="006F7F4D">
        <w:rPr>
          <w:rFonts w:ascii="Times New Roman" w:hAnsi="Times New Roman"/>
        </w:rPr>
        <w:t xml:space="preserve"> sécurité alimentaire (PNIASA).</w:t>
      </w:r>
      <w:r>
        <w:rPr>
          <w:rFonts w:ascii="Times New Roman" w:hAnsi="Times New Roman"/>
        </w:rPr>
        <w:t xml:space="preserve"> Son principal objectif est de renforcer la sécurité alimentaire en diversifiant et en augmentant la production alimentaire et animale afin de promouvoir la souveraineté alimentaire et d'augmenter les revenus agricoles en créant des débouchés économiques et en améliorant l'accès au marché, ainsi qu'en développant des mesures de soutien transversales visant à garantir l'efficacité des investissements (Source : Banque mondiale). Il comprend les 6 programmes suivants :</w:t>
      </w:r>
    </w:p>
    <w:p w:rsidR="003A715E" w:rsidRPr="001F1343" w:rsidRDefault="00CA7034" w:rsidP="003A715E">
      <w:pPr>
        <w:autoSpaceDE w:val="0"/>
        <w:autoSpaceDN w:val="0"/>
        <w:adjustRightInd w:val="0"/>
        <w:spacing w:after="0"/>
        <w:ind w:left="-540" w:right="-608"/>
        <w:rPr>
          <w:rFonts w:ascii="Times New Roman" w:hAnsi="Times New Roman"/>
          <w:bCs/>
          <w:szCs w:val="22"/>
        </w:rPr>
      </w:pPr>
      <w:r>
        <w:rPr>
          <w:rFonts w:ascii="Times New Roman" w:hAnsi="Times New Roman"/>
        </w:rPr>
        <w:t>1.</w:t>
      </w:r>
      <w:r>
        <w:rPr>
          <w:rFonts w:ascii="Times New Roman" w:hAnsi="Times New Roman"/>
        </w:rPr>
        <w:tab/>
        <w:t>Culture durable du riz via la gestion de l'eau ;</w:t>
      </w:r>
    </w:p>
    <w:p w:rsidR="0039109C" w:rsidRPr="001F1343" w:rsidRDefault="00CA7034" w:rsidP="003A715E">
      <w:pPr>
        <w:autoSpaceDE w:val="0"/>
        <w:autoSpaceDN w:val="0"/>
        <w:adjustRightInd w:val="0"/>
        <w:spacing w:after="0"/>
        <w:ind w:left="-540" w:right="-608"/>
        <w:rPr>
          <w:rFonts w:ascii="Times New Roman" w:hAnsi="Times New Roman"/>
          <w:bCs/>
          <w:szCs w:val="22"/>
        </w:rPr>
      </w:pPr>
      <w:r>
        <w:rPr>
          <w:rFonts w:ascii="Times New Roman" w:hAnsi="Times New Roman"/>
        </w:rPr>
        <w:t>2.</w:t>
      </w:r>
      <w:r>
        <w:rPr>
          <w:rFonts w:ascii="Times New Roman" w:hAnsi="Times New Roman"/>
        </w:rPr>
        <w:tab/>
        <w:t xml:space="preserve">Diversification de la production alimentaire et amélioration de </w:t>
      </w:r>
      <w:r w:rsidR="007077F2">
        <w:rPr>
          <w:rFonts w:ascii="Times New Roman" w:hAnsi="Times New Roman"/>
        </w:rPr>
        <w:t>l’alimentation</w:t>
      </w:r>
      <w:r>
        <w:rPr>
          <w:rFonts w:ascii="Times New Roman" w:hAnsi="Times New Roman"/>
        </w:rPr>
        <w:t xml:space="preserve"> de la population ;</w:t>
      </w:r>
    </w:p>
    <w:p w:rsidR="0039109C" w:rsidRPr="001F1343" w:rsidRDefault="00CA7034" w:rsidP="003A715E">
      <w:pPr>
        <w:autoSpaceDE w:val="0"/>
        <w:autoSpaceDN w:val="0"/>
        <w:adjustRightInd w:val="0"/>
        <w:spacing w:after="0"/>
        <w:ind w:left="-540" w:right="-608"/>
        <w:rPr>
          <w:rFonts w:ascii="Times New Roman" w:hAnsi="Times New Roman"/>
          <w:bCs/>
          <w:szCs w:val="22"/>
        </w:rPr>
      </w:pPr>
      <w:r>
        <w:rPr>
          <w:rFonts w:ascii="Times New Roman" w:hAnsi="Times New Roman"/>
        </w:rPr>
        <w:t>3.</w:t>
      </w:r>
      <w:r>
        <w:rPr>
          <w:rFonts w:ascii="Times New Roman" w:hAnsi="Times New Roman"/>
        </w:rPr>
        <w:tab/>
        <w:t>Promotion des exportations de produits agricoles/agroalimentaires.</w:t>
      </w:r>
    </w:p>
    <w:p w:rsidR="0039109C" w:rsidRPr="001F1343" w:rsidRDefault="00CA7034" w:rsidP="003A715E">
      <w:pPr>
        <w:autoSpaceDE w:val="0"/>
        <w:autoSpaceDN w:val="0"/>
        <w:adjustRightInd w:val="0"/>
        <w:spacing w:after="0"/>
        <w:ind w:left="-540" w:right="-608"/>
        <w:rPr>
          <w:rFonts w:ascii="Times New Roman" w:hAnsi="Times New Roman"/>
          <w:bCs/>
          <w:szCs w:val="22"/>
        </w:rPr>
      </w:pPr>
      <w:r>
        <w:rPr>
          <w:rFonts w:ascii="Times New Roman" w:hAnsi="Times New Roman"/>
        </w:rPr>
        <w:t>4.</w:t>
      </w:r>
      <w:r>
        <w:rPr>
          <w:rFonts w:ascii="Times New Roman" w:hAnsi="Times New Roman"/>
        </w:rPr>
        <w:tab/>
        <w:t>Gestion durable des ressources naturelles ;</w:t>
      </w:r>
    </w:p>
    <w:p w:rsidR="0039109C" w:rsidRPr="001F1343" w:rsidRDefault="00CA7034" w:rsidP="003A715E">
      <w:pPr>
        <w:autoSpaceDE w:val="0"/>
        <w:autoSpaceDN w:val="0"/>
        <w:adjustRightInd w:val="0"/>
        <w:spacing w:after="0"/>
        <w:ind w:left="-540" w:right="-608"/>
        <w:rPr>
          <w:rFonts w:ascii="Times New Roman" w:hAnsi="Times New Roman"/>
          <w:bCs/>
          <w:szCs w:val="22"/>
        </w:rPr>
      </w:pPr>
      <w:r>
        <w:rPr>
          <w:rFonts w:ascii="Times New Roman" w:hAnsi="Times New Roman"/>
        </w:rPr>
        <w:t>5.</w:t>
      </w:r>
      <w:r>
        <w:rPr>
          <w:rFonts w:ascii="Times New Roman" w:hAnsi="Times New Roman"/>
        </w:rPr>
        <w:tab/>
        <w:t>Amélioration de la qualité des services agricoles et soutien aux producteurs ; et</w:t>
      </w:r>
    </w:p>
    <w:p w:rsidR="0039109C" w:rsidRPr="001F1343" w:rsidRDefault="00CA7034" w:rsidP="0039109C">
      <w:pPr>
        <w:autoSpaceDE w:val="0"/>
        <w:autoSpaceDN w:val="0"/>
        <w:adjustRightInd w:val="0"/>
        <w:spacing w:after="200"/>
        <w:ind w:left="-540" w:right="-608"/>
        <w:rPr>
          <w:rFonts w:ascii="Times New Roman" w:hAnsi="Times New Roman"/>
          <w:bCs/>
          <w:szCs w:val="22"/>
        </w:rPr>
      </w:pPr>
      <w:r>
        <w:rPr>
          <w:rFonts w:ascii="Times New Roman" w:hAnsi="Times New Roman"/>
        </w:rPr>
        <w:t>6.</w:t>
      </w:r>
      <w:r>
        <w:rPr>
          <w:rFonts w:ascii="Times New Roman" w:hAnsi="Times New Roman"/>
        </w:rPr>
        <w:tab/>
        <w:t>Renforcement institutionnel pour la mise en œuvre du PNIASA.</w:t>
      </w:r>
    </w:p>
    <w:p w:rsidR="0039109C" w:rsidRPr="001F1343" w:rsidRDefault="00CA7034" w:rsidP="0039109C">
      <w:pPr>
        <w:autoSpaceDE w:val="0"/>
        <w:autoSpaceDN w:val="0"/>
        <w:adjustRightInd w:val="0"/>
        <w:spacing w:after="200"/>
        <w:ind w:left="-540" w:right="-608"/>
        <w:rPr>
          <w:rFonts w:ascii="Times New Roman" w:hAnsi="Times New Roman"/>
          <w:bCs/>
          <w:szCs w:val="22"/>
        </w:rPr>
      </w:pPr>
      <w:r>
        <w:rPr>
          <w:rFonts w:ascii="Times New Roman" w:hAnsi="Times New Roman"/>
        </w:rPr>
        <w:t xml:space="preserve">La mise en œuvre du PNIASA est prévue pour 2013-2017, avec un budget légèrement supérieur à 1 milliard </w:t>
      </w:r>
      <w:r w:rsidR="007077F2">
        <w:rPr>
          <w:rFonts w:ascii="Times New Roman" w:hAnsi="Times New Roman"/>
        </w:rPr>
        <w:t>de dollars</w:t>
      </w:r>
      <w:r>
        <w:rPr>
          <w:rFonts w:ascii="Times New Roman" w:hAnsi="Times New Roman"/>
        </w:rPr>
        <w:t xml:space="preserve">. Toutefois, </w:t>
      </w:r>
      <w:r w:rsidR="007077F2">
        <w:rPr>
          <w:rFonts w:ascii="Times New Roman" w:hAnsi="Times New Roman"/>
        </w:rPr>
        <w:t xml:space="preserve">ses activités n’ont pas encore commencé dans l’attente de </w:t>
      </w:r>
      <w:r>
        <w:rPr>
          <w:rFonts w:ascii="Times New Roman" w:hAnsi="Times New Roman"/>
        </w:rPr>
        <w:t>l'affectation des ressources financières.</w:t>
      </w:r>
    </w:p>
    <w:p w:rsidR="003A715E" w:rsidRPr="001F1343" w:rsidRDefault="00CA7034" w:rsidP="003A715E">
      <w:pPr>
        <w:autoSpaceDE w:val="0"/>
        <w:autoSpaceDN w:val="0"/>
        <w:adjustRightInd w:val="0"/>
        <w:spacing w:after="200"/>
        <w:ind w:left="-540" w:right="-608"/>
        <w:rPr>
          <w:rFonts w:ascii="Times New Roman" w:hAnsi="Times New Roman"/>
          <w:bCs/>
          <w:szCs w:val="22"/>
        </w:rPr>
      </w:pPr>
      <w:r>
        <w:rPr>
          <w:rFonts w:ascii="Times New Roman" w:hAnsi="Times New Roman"/>
        </w:rPr>
        <w:t xml:space="preserve">La Guinée </w:t>
      </w:r>
      <w:r w:rsidR="007077F2">
        <w:rPr>
          <w:rFonts w:ascii="Times New Roman" w:hAnsi="Times New Roman"/>
        </w:rPr>
        <w:t xml:space="preserve">présente également </w:t>
      </w:r>
      <w:r>
        <w:rPr>
          <w:rFonts w:ascii="Times New Roman" w:hAnsi="Times New Roman"/>
        </w:rPr>
        <w:t xml:space="preserve">un fort potentiel hydroélectrique estimé à plus de 6 000 MW, </w:t>
      </w:r>
      <w:r w:rsidR="007077F2">
        <w:rPr>
          <w:rFonts w:ascii="Times New Roman" w:hAnsi="Times New Roman"/>
        </w:rPr>
        <w:t>de telle sorte</w:t>
      </w:r>
      <w:r>
        <w:rPr>
          <w:rFonts w:ascii="Times New Roman" w:hAnsi="Times New Roman"/>
        </w:rPr>
        <w:t xml:space="preserve"> que le pays pourrait satisfaire ses besoins nationaux, y compris </w:t>
      </w:r>
      <w:r w:rsidR="007077F2">
        <w:rPr>
          <w:rFonts w:ascii="Times New Roman" w:hAnsi="Times New Roman"/>
        </w:rPr>
        <w:t>dans</w:t>
      </w:r>
      <w:r>
        <w:rPr>
          <w:rFonts w:ascii="Times New Roman" w:hAnsi="Times New Roman"/>
        </w:rPr>
        <w:t xml:space="preserve"> le secteur minier, et exporter de l'électricité à ses pays voisins. Pourtant, l'électrification est actuellement estimée à 17 %, et seulement 3 % en milieu rural. En dépit de ce potentiel hydroélectrique considérable, la génération d'énergie thermique représentait 62 % de la capacité de génération totale en 2013, </w:t>
      </w:r>
      <w:r w:rsidR="007077F2">
        <w:rPr>
          <w:rFonts w:ascii="Times New Roman" w:hAnsi="Times New Roman"/>
        </w:rPr>
        <w:t>auto producteurs</w:t>
      </w:r>
      <w:r>
        <w:rPr>
          <w:rFonts w:ascii="Times New Roman" w:hAnsi="Times New Roman"/>
        </w:rPr>
        <w:t xml:space="preserve"> opérant dans le secteur minier compris. Cette proportion de génération thermique a atteint 71 % à la fin 2014, avec des capacités supplémentaires de 100 MW. À l'heure actuelle, les capacités de génération installées dans le pays s'élèvent à 340 MW, dont 220 MW gérées par Électricité de Guinée (EDG) (dont près de 128 MW provenant de sources hydrauliques), les 120 MW restants étant détenus par les compagnies minières. En 2011, la capacité de production d'électricité en milieu urbain de la Guinée s'élevait à 130 MW mais la demande était elle estimée à 240 MW, </w:t>
      </w:r>
      <w:r w:rsidR="007077F2">
        <w:rPr>
          <w:rFonts w:ascii="Times New Roman" w:hAnsi="Times New Roman"/>
        </w:rPr>
        <w:t xml:space="preserve">de sorte que </w:t>
      </w:r>
      <w:r>
        <w:rPr>
          <w:rFonts w:ascii="Times New Roman" w:hAnsi="Times New Roman"/>
        </w:rPr>
        <w:t xml:space="preserve">des coupures de courant fréquentes et assez longues (jusqu'à 18 heures par jour) </w:t>
      </w:r>
      <w:r w:rsidR="007077F2">
        <w:rPr>
          <w:rFonts w:ascii="Times New Roman" w:hAnsi="Times New Roman"/>
        </w:rPr>
        <w:t xml:space="preserve">sont intervenues </w:t>
      </w:r>
      <w:r>
        <w:rPr>
          <w:rFonts w:ascii="Times New Roman" w:hAnsi="Times New Roman"/>
        </w:rPr>
        <w:t>dans la capitale, Conakry, et d'autres grandes villes ; malheureusement, c</w:t>
      </w:r>
      <w:r w:rsidR="007077F2">
        <w:rPr>
          <w:rFonts w:ascii="Times New Roman" w:hAnsi="Times New Roman"/>
        </w:rPr>
        <w:t>ette situation persiste encore</w:t>
      </w:r>
      <w:r>
        <w:rPr>
          <w:rFonts w:ascii="Times New Roman" w:hAnsi="Times New Roman"/>
        </w:rPr>
        <w:t xml:space="preserve">. </w:t>
      </w:r>
      <w:r w:rsidR="007077F2">
        <w:rPr>
          <w:rFonts w:ascii="Times New Roman" w:hAnsi="Times New Roman"/>
        </w:rPr>
        <w:t>Depuis</w:t>
      </w:r>
      <w:r>
        <w:rPr>
          <w:rFonts w:ascii="Times New Roman" w:hAnsi="Times New Roman"/>
        </w:rPr>
        <w:t xml:space="preserve"> plusieurs années, EDG </w:t>
      </w:r>
      <w:r w:rsidR="007077F2">
        <w:rPr>
          <w:rFonts w:ascii="Times New Roman" w:hAnsi="Times New Roman"/>
        </w:rPr>
        <w:t>est</w:t>
      </w:r>
      <w:r>
        <w:rPr>
          <w:rFonts w:ascii="Times New Roman" w:hAnsi="Times New Roman"/>
        </w:rPr>
        <w:t xml:space="preserve"> confrontée à de grosses difficultés en raison d'infrastructures vieillissantes, du manque d'investissement et d'entretien (pertes techniques), du vol d'électricité et du non-paiement de factures (pertes non techniques) ; en tout, cela représente presque 50 % de pertes financières. </w:t>
      </w:r>
    </w:p>
    <w:p w:rsidR="003A715E" w:rsidRPr="001F1343" w:rsidRDefault="00CA7034" w:rsidP="003A715E">
      <w:pPr>
        <w:autoSpaceDE w:val="0"/>
        <w:autoSpaceDN w:val="0"/>
        <w:adjustRightInd w:val="0"/>
        <w:spacing w:after="200"/>
        <w:ind w:left="-540" w:right="-608"/>
        <w:rPr>
          <w:rFonts w:ascii="Times New Roman" w:hAnsi="Times New Roman"/>
          <w:bCs/>
          <w:szCs w:val="22"/>
        </w:rPr>
      </w:pPr>
      <w:r>
        <w:rPr>
          <w:rFonts w:ascii="Times New Roman" w:hAnsi="Times New Roman"/>
        </w:rPr>
        <w:t>Les principales sources d'approvisionnement énergétique de la Guinée sont la biomasse (80 %), les produits pétroliers (18 %) et les ressources hydriques (2 %) (Fig. 1), et ce en dépit du fort potentiel hydroélectrique du pays, comme mentionné précédemment. Le principal potentiel du pays en matière d'énergie renouvelable réside dans la biomasse et les ressources hydriques, puis dans l'énergie éolienne et solaire ; l'énergie océanique/houlomotrice présente également un potentiel considérable, mais il n'existe pas à l'heure actuelle de technologies rentables susceptibles d'exploiter cette source d'énergie.</w:t>
      </w:r>
    </w:p>
    <w:p w:rsidR="00E85D71" w:rsidRPr="001F1343" w:rsidRDefault="00CA7034" w:rsidP="003A715E">
      <w:pPr>
        <w:autoSpaceDE w:val="0"/>
        <w:autoSpaceDN w:val="0"/>
        <w:adjustRightInd w:val="0"/>
        <w:spacing w:after="200"/>
        <w:ind w:left="-540" w:right="-608"/>
        <w:rPr>
          <w:rFonts w:ascii="Times New Roman" w:hAnsi="Times New Roman"/>
          <w:b/>
          <w:bCs/>
          <w:szCs w:val="22"/>
        </w:rPr>
      </w:pPr>
      <w:r>
        <w:rPr>
          <w:rFonts w:ascii="Times New Roman" w:hAnsi="Times New Roman"/>
        </w:rPr>
        <w:lastRenderedPageBreak/>
        <w:t xml:space="preserve">La biomasse, sous forme de bois de chauffage et de charbon, constitue la ressource en énergie renouvelable la plus importante utilisée en tant que principale source d'énergie domestique pour la cuisine. En milieu rural et périurbain, les ménages utilisent essentiellement du charbon ou du bois, et parfois </w:t>
      </w:r>
      <w:r w:rsidR="003025B9">
        <w:rPr>
          <w:rFonts w:ascii="Times New Roman" w:hAnsi="Times New Roman"/>
        </w:rPr>
        <w:t>à la fois</w:t>
      </w:r>
      <w:r>
        <w:rPr>
          <w:rFonts w:ascii="Times New Roman" w:hAnsi="Times New Roman"/>
        </w:rPr>
        <w:t xml:space="preserve"> dans un poêle à charbon et un poêle à bois, pour la cuisine. L'utilisation du charbon s'est également généralisée en milieu urbain dans la mesure où l'approvisionnement en électricité et la disponibilité des bo</w:t>
      </w:r>
      <w:r w:rsidR="003025B9">
        <w:rPr>
          <w:rFonts w:ascii="Times New Roman" w:hAnsi="Times New Roman"/>
        </w:rPr>
        <w:t>uteilles</w:t>
      </w:r>
      <w:r>
        <w:rPr>
          <w:rFonts w:ascii="Times New Roman" w:hAnsi="Times New Roman"/>
        </w:rPr>
        <w:t xml:space="preserve"> de gaz ont tendance à être erratiques. Selon les données disponibles pour l'année 2012, presque 100 % des ménages ruraux ont exclusivement recou</w:t>
      </w:r>
      <w:r w:rsidR="003025B9">
        <w:rPr>
          <w:rFonts w:ascii="Times New Roman" w:hAnsi="Times New Roman"/>
        </w:rPr>
        <w:t>r</w:t>
      </w:r>
      <w:r w:rsidR="002877E9">
        <w:rPr>
          <w:rFonts w:ascii="Times New Roman" w:hAnsi="Times New Roman"/>
        </w:rPr>
        <w:t>s à du bois de chauffage et 20 %</w:t>
      </w:r>
      <w:r>
        <w:rPr>
          <w:rFonts w:ascii="Times New Roman" w:hAnsi="Times New Roman"/>
        </w:rPr>
        <w:t xml:space="preserve"> des ménages urbains ont recours à du bois de chauffage et/ou du charbon, parfois </w:t>
      </w:r>
      <w:r w:rsidR="003025B9">
        <w:rPr>
          <w:rFonts w:ascii="Times New Roman" w:hAnsi="Times New Roman"/>
        </w:rPr>
        <w:t>à la fois</w:t>
      </w:r>
      <w:r>
        <w:rPr>
          <w:rFonts w:ascii="Times New Roman" w:hAnsi="Times New Roman"/>
        </w:rPr>
        <w:t>, pour la cuisine, et ce recours massif à la biomasse contribue à la diminution rapide des ressources forestières du pays, favorisant la déforestation. L'introduction de cuisinières améliorées utilisant de la biomasse en 1995 et leur généralisation au fil des ans ont conduit à une réduction de 6</w:t>
      </w:r>
      <w:r w:rsidR="003025B9">
        <w:rPr>
          <w:rFonts w:ascii="Times New Roman" w:hAnsi="Times New Roman"/>
        </w:rPr>
        <w:t> </w:t>
      </w:r>
      <w:r>
        <w:rPr>
          <w:rFonts w:ascii="Times New Roman" w:hAnsi="Times New Roman"/>
        </w:rPr>
        <w:t xml:space="preserve">% du volume de biomasse </w:t>
      </w:r>
      <w:r w:rsidR="003025B9">
        <w:rPr>
          <w:rFonts w:ascii="Times New Roman" w:hAnsi="Times New Roman"/>
        </w:rPr>
        <w:t xml:space="preserve">ligneuse utilisé dans le pays ; </w:t>
      </w:r>
      <w:r>
        <w:rPr>
          <w:rFonts w:ascii="Times New Roman" w:hAnsi="Times New Roman"/>
        </w:rPr>
        <w:t>toutefois, il n'existe pas de données fiables sur le pourcentage de la population l'utilisant. De plus, seul 1</w:t>
      </w:r>
      <w:r w:rsidR="003025B9">
        <w:rPr>
          <w:rFonts w:ascii="Times New Roman" w:hAnsi="Times New Roman"/>
        </w:rPr>
        <w:t> </w:t>
      </w:r>
      <w:r>
        <w:rPr>
          <w:rFonts w:ascii="Times New Roman" w:hAnsi="Times New Roman"/>
        </w:rPr>
        <w:t xml:space="preserve">% de la population a accès à des combustibles propres (électricité et </w:t>
      </w:r>
      <w:r w:rsidR="003025B9">
        <w:rPr>
          <w:rFonts w:ascii="Times New Roman" w:hAnsi="Times New Roman"/>
        </w:rPr>
        <w:t>g</w:t>
      </w:r>
      <w:r>
        <w:rPr>
          <w:rFonts w:ascii="Times New Roman" w:hAnsi="Times New Roman"/>
        </w:rPr>
        <w:t>az</w:t>
      </w:r>
      <w:r w:rsidR="003025B9">
        <w:rPr>
          <w:rFonts w:ascii="Times New Roman" w:hAnsi="Times New Roman"/>
        </w:rPr>
        <w:t xml:space="preserve"> en bouteille</w:t>
      </w:r>
      <w:r>
        <w:rPr>
          <w:rFonts w:ascii="Times New Roman" w:hAnsi="Times New Roman"/>
        </w:rPr>
        <w:t>) pour la cuisine</w:t>
      </w:r>
      <w:r w:rsidR="003025B9">
        <w:rPr>
          <w:rFonts w:ascii="Times New Roman" w:hAnsi="Times New Roman"/>
        </w:rPr>
        <w:t>,</w:t>
      </w:r>
      <w:r>
        <w:rPr>
          <w:rFonts w:ascii="Times New Roman" w:hAnsi="Times New Roman"/>
        </w:rPr>
        <w:t xml:space="preserve"> et le kérosène est très peu utilisé pour la cuisine (et l'éclairage). En fait, le kérosène était le combustible </w:t>
      </w:r>
      <w:r w:rsidR="003025B9">
        <w:rPr>
          <w:rFonts w:ascii="Times New Roman" w:hAnsi="Times New Roman"/>
        </w:rPr>
        <w:t>de prédilection</w:t>
      </w:r>
      <w:r>
        <w:rPr>
          <w:rFonts w:ascii="Times New Roman" w:hAnsi="Times New Roman"/>
        </w:rPr>
        <w:t xml:space="preserve"> à des fins d'éclairage en milieu rural, mais il est maintenant remplacé par des lampes à LED à batterie jetables, connues en Guinée sous le nom de « lampes chinoises » de par leur pays de fabrication.</w:t>
      </w:r>
    </w:p>
    <w:p w:rsidR="003A715E" w:rsidRPr="001F1343" w:rsidRDefault="00CA7034" w:rsidP="003A715E">
      <w:pPr>
        <w:autoSpaceDE w:val="0"/>
        <w:autoSpaceDN w:val="0"/>
        <w:adjustRightInd w:val="0"/>
        <w:spacing w:after="200"/>
        <w:ind w:left="-360" w:right="-360"/>
        <w:jc w:val="center"/>
        <w:rPr>
          <w:rFonts w:ascii="Times New Roman" w:hAnsi="Times New Roman"/>
          <w:b/>
          <w:bCs/>
          <w:szCs w:val="22"/>
        </w:rPr>
      </w:pPr>
      <w:r>
        <w:rPr>
          <w:rFonts w:ascii="Times New Roman" w:hAnsi="Times New Roman"/>
          <w:b/>
        </w:rPr>
        <w:t>Fig. 1 : Principale source d'approvisionnement énergétique (2013)</w:t>
      </w:r>
    </w:p>
    <w:p w:rsidR="00CE7B3B" w:rsidRPr="001F1343" w:rsidRDefault="0024411E" w:rsidP="003A715E">
      <w:pPr>
        <w:tabs>
          <w:tab w:val="num" w:pos="90"/>
        </w:tabs>
        <w:autoSpaceDE w:val="0"/>
        <w:autoSpaceDN w:val="0"/>
        <w:adjustRightInd w:val="0"/>
        <w:spacing w:after="200"/>
        <w:ind w:left="-360" w:right="-360"/>
        <w:jc w:val="center"/>
        <w:rPr>
          <w:rFonts w:ascii="Times New Roman" w:hAnsi="Times New Roman"/>
          <w:bCs/>
          <w:szCs w:val="22"/>
        </w:rPr>
      </w:pPr>
      <w:r>
        <w:rPr>
          <w:noProof/>
        </w:rPr>
        <w:drawing>
          <wp:inline distT="0" distB="0" distL="0" distR="0">
            <wp:extent cx="5948680" cy="399478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680" cy="3994785"/>
                    </a:xfrm>
                    <a:prstGeom prst="rect">
                      <a:avLst/>
                    </a:prstGeom>
                    <a:noFill/>
                    <a:ln>
                      <a:noFill/>
                    </a:ln>
                  </pic:spPr>
                </pic:pic>
              </a:graphicData>
            </a:graphic>
          </wp:inline>
        </w:drawing>
      </w:r>
    </w:p>
    <w:p w:rsidR="00CE7B3B" w:rsidRPr="001F1343" w:rsidRDefault="00CE7B3B" w:rsidP="00C7180F">
      <w:pPr>
        <w:tabs>
          <w:tab w:val="num" w:pos="90"/>
        </w:tabs>
        <w:autoSpaceDE w:val="0"/>
        <w:autoSpaceDN w:val="0"/>
        <w:adjustRightInd w:val="0"/>
        <w:spacing w:after="200"/>
        <w:ind w:left="-360" w:right="-360"/>
        <w:rPr>
          <w:rFonts w:ascii="Times New Roman" w:hAnsi="Times New Roman"/>
          <w:bCs/>
          <w:szCs w:val="22"/>
        </w:rPr>
      </w:pPr>
    </w:p>
    <w:p w:rsidR="00CE7B3B" w:rsidRPr="001F1343" w:rsidRDefault="00CA7034" w:rsidP="003A715E">
      <w:pPr>
        <w:tabs>
          <w:tab w:val="num" w:pos="90"/>
        </w:tabs>
        <w:autoSpaceDE w:val="0"/>
        <w:autoSpaceDN w:val="0"/>
        <w:adjustRightInd w:val="0"/>
        <w:spacing w:after="200"/>
        <w:ind w:left="-540" w:right="-608"/>
        <w:rPr>
          <w:rFonts w:ascii="Times New Roman" w:hAnsi="Times New Roman"/>
          <w:bCs/>
          <w:szCs w:val="22"/>
        </w:rPr>
      </w:pPr>
      <w:r>
        <w:rPr>
          <w:rFonts w:ascii="Times New Roman" w:hAnsi="Times New Roman"/>
        </w:rPr>
        <w:t xml:space="preserve">Le recours à la biomasse </w:t>
      </w:r>
      <w:r w:rsidR="003025B9">
        <w:rPr>
          <w:rFonts w:ascii="Times New Roman" w:hAnsi="Times New Roman"/>
        </w:rPr>
        <w:t>s’accroît</w:t>
      </w:r>
      <w:r>
        <w:rPr>
          <w:rFonts w:ascii="Times New Roman" w:hAnsi="Times New Roman"/>
        </w:rPr>
        <w:t xml:space="preserve"> en raison du processus de destruction et de combustion visant à transformer les zones forestières en terres agricoles et du défrichage des terres afin de mener des activités d'exploitation minière et forestière, notamment celles li</w:t>
      </w:r>
      <w:r w:rsidR="006F7F4D">
        <w:rPr>
          <w:rFonts w:ascii="Times New Roman" w:hAnsi="Times New Roman"/>
        </w:rPr>
        <w:t>ées à la production de charbon.</w:t>
      </w:r>
      <w:r>
        <w:rPr>
          <w:rFonts w:ascii="Times New Roman" w:hAnsi="Times New Roman"/>
        </w:rPr>
        <w:t xml:space="preserve"> Conformément au Plan d’action national d’adaptation aux changements climatiques (PANA, juillet 2007), la couverture forestière du pays a diminué en moyenne de 35 000 ha/an. Ainsi, la forêt humide </w:t>
      </w:r>
      <w:r w:rsidR="003025B9">
        <w:rPr>
          <w:rFonts w:ascii="Times New Roman" w:hAnsi="Times New Roman"/>
        </w:rPr>
        <w:t xml:space="preserve">dense </w:t>
      </w:r>
      <w:r>
        <w:rPr>
          <w:rFonts w:ascii="Times New Roman" w:hAnsi="Times New Roman"/>
        </w:rPr>
        <w:t xml:space="preserve">qui couvrait 14 millions d'hectares en 1967 ne couvrait plus que 7,3 millions d'hectares en 1990 (FAO, 2010) et 6,5 millions d'hectares en 2010. Selon la FAO, cette diminution de la couverture forestière est le </w:t>
      </w:r>
      <w:r>
        <w:rPr>
          <w:rFonts w:ascii="Times New Roman" w:hAnsi="Times New Roman"/>
        </w:rPr>
        <w:lastRenderedPageBreak/>
        <w:t xml:space="preserve">résultat de plusieurs facteurs, y compris « l'absence de planification de l'expansion des villes, l'explosion démographique, la pauvreté et une mauvaise gouvernance ». Cette réduction des zones forestières conduit à une </w:t>
      </w:r>
      <w:r w:rsidR="003025B9">
        <w:rPr>
          <w:rFonts w:ascii="Times New Roman" w:hAnsi="Times New Roman"/>
        </w:rPr>
        <w:t>disparition</w:t>
      </w:r>
      <w:r>
        <w:rPr>
          <w:rFonts w:ascii="Times New Roman" w:hAnsi="Times New Roman"/>
        </w:rPr>
        <w:t xml:space="preserve"> des habitats fauniques, exposant ainsi les sols à l'érosion et affectant gravement les ressources hydriques.</w:t>
      </w:r>
    </w:p>
    <w:p w:rsidR="003A715E" w:rsidRPr="001F1343" w:rsidRDefault="00CA7034" w:rsidP="003A715E">
      <w:pPr>
        <w:tabs>
          <w:tab w:val="num" w:pos="360"/>
        </w:tabs>
        <w:autoSpaceDE w:val="0"/>
        <w:autoSpaceDN w:val="0"/>
        <w:adjustRightInd w:val="0"/>
        <w:spacing w:after="200"/>
        <w:ind w:left="360"/>
        <w:jc w:val="center"/>
        <w:rPr>
          <w:rFonts w:ascii="Times New Roman" w:hAnsi="Times New Roman"/>
          <w:b/>
          <w:bCs/>
          <w:szCs w:val="22"/>
        </w:rPr>
      </w:pPr>
      <w:r>
        <w:rPr>
          <w:rFonts w:ascii="Times New Roman" w:hAnsi="Times New Roman"/>
          <w:b/>
        </w:rPr>
        <w:t>Tableau 1 : Consommation annuelle de biomasse (tonnes)</w:t>
      </w:r>
    </w:p>
    <w:tbl>
      <w:tblPr>
        <w:tblW w:w="9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096"/>
        <w:gridCol w:w="1096"/>
        <w:gridCol w:w="1096"/>
        <w:gridCol w:w="1206"/>
        <w:gridCol w:w="1206"/>
        <w:gridCol w:w="1206"/>
        <w:gridCol w:w="1206"/>
      </w:tblGrid>
      <w:tr w:rsidR="003A715E" w:rsidRPr="001F1343" w:rsidTr="00FD5B26">
        <w:tc>
          <w:tcPr>
            <w:tcW w:w="1738" w:type="dxa"/>
          </w:tcPr>
          <w:p w:rsidR="003A715E" w:rsidRPr="00953F89" w:rsidRDefault="00CA7034" w:rsidP="00953F89">
            <w:pPr>
              <w:tabs>
                <w:tab w:val="num" w:pos="360"/>
              </w:tabs>
              <w:autoSpaceDE w:val="0"/>
              <w:autoSpaceDN w:val="0"/>
              <w:adjustRightInd w:val="0"/>
              <w:spacing w:after="200"/>
              <w:jc w:val="center"/>
              <w:rPr>
                <w:rFonts w:ascii="Times New Roman" w:hAnsi="Times New Roman"/>
                <w:b/>
                <w:bCs/>
                <w:szCs w:val="22"/>
              </w:rPr>
            </w:pPr>
            <w:r>
              <w:rPr>
                <w:rFonts w:ascii="Times New Roman" w:hAnsi="Times New Roman"/>
                <w:b/>
              </w:rPr>
              <w:t>Année</w:t>
            </w:r>
          </w:p>
        </w:tc>
        <w:tc>
          <w:tcPr>
            <w:tcW w:w="109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2008</w:t>
            </w:r>
          </w:p>
        </w:tc>
        <w:tc>
          <w:tcPr>
            <w:tcW w:w="109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2009</w:t>
            </w:r>
          </w:p>
        </w:tc>
        <w:tc>
          <w:tcPr>
            <w:tcW w:w="109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2010</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2011</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2012</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2013</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2014</w:t>
            </w:r>
          </w:p>
        </w:tc>
      </w:tr>
      <w:tr w:rsidR="003A715E" w:rsidRPr="001F1343" w:rsidTr="00FD5B26">
        <w:tc>
          <w:tcPr>
            <w:tcW w:w="1738" w:type="dxa"/>
          </w:tcPr>
          <w:p w:rsidR="003A715E" w:rsidRPr="00953F89" w:rsidRDefault="00CA7034" w:rsidP="00953F89">
            <w:pPr>
              <w:tabs>
                <w:tab w:val="num" w:pos="360"/>
              </w:tabs>
              <w:autoSpaceDE w:val="0"/>
              <w:autoSpaceDN w:val="0"/>
              <w:adjustRightInd w:val="0"/>
              <w:spacing w:after="200"/>
              <w:jc w:val="center"/>
              <w:rPr>
                <w:rFonts w:ascii="Times New Roman" w:hAnsi="Times New Roman"/>
                <w:b/>
                <w:bCs/>
                <w:szCs w:val="22"/>
              </w:rPr>
            </w:pPr>
            <w:r>
              <w:rPr>
                <w:rFonts w:ascii="Times New Roman" w:hAnsi="Times New Roman"/>
                <w:b/>
              </w:rPr>
              <w:t>Consommation</w:t>
            </w:r>
          </w:p>
        </w:tc>
        <w:tc>
          <w:tcPr>
            <w:tcW w:w="109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9 420 946</w:t>
            </w:r>
          </w:p>
        </w:tc>
        <w:tc>
          <w:tcPr>
            <w:tcW w:w="109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9 703 574</w:t>
            </w:r>
          </w:p>
        </w:tc>
        <w:tc>
          <w:tcPr>
            <w:tcW w:w="109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9 994 681</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10 284 527</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10 582 778</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10 889 679</w:t>
            </w:r>
          </w:p>
        </w:tc>
        <w:tc>
          <w:tcPr>
            <w:tcW w:w="1206" w:type="dxa"/>
          </w:tcPr>
          <w:p w:rsidR="003A715E" w:rsidRPr="00953F89" w:rsidRDefault="00CA7034" w:rsidP="00953F89">
            <w:pPr>
              <w:tabs>
                <w:tab w:val="num" w:pos="360"/>
              </w:tabs>
              <w:autoSpaceDE w:val="0"/>
              <w:autoSpaceDN w:val="0"/>
              <w:adjustRightInd w:val="0"/>
              <w:spacing w:after="200"/>
              <w:jc w:val="center"/>
              <w:rPr>
                <w:rFonts w:ascii="Times New Roman" w:hAnsi="Times New Roman"/>
                <w:bCs/>
                <w:szCs w:val="22"/>
              </w:rPr>
            </w:pPr>
            <w:r>
              <w:rPr>
                <w:rFonts w:ascii="Times New Roman" w:hAnsi="Times New Roman"/>
              </w:rPr>
              <w:t>11 205 480</w:t>
            </w:r>
          </w:p>
        </w:tc>
      </w:tr>
    </w:tbl>
    <w:p w:rsidR="003A715E" w:rsidRPr="001F1343" w:rsidRDefault="00CA7034" w:rsidP="003A715E">
      <w:pPr>
        <w:tabs>
          <w:tab w:val="num" w:pos="360"/>
        </w:tabs>
        <w:autoSpaceDE w:val="0"/>
        <w:autoSpaceDN w:val="0"/>
        <w:adjustRightInd w:val="0"/>
        <w:spacing w:after="200"/>
        <w:ind w:left="360"/>
        <w:jc w:val="left"/>
        <w:rPr>
          <w:rFonts w:ascii="Times New Roman" w:hAnsi="Times New Roman"/>
          <w:bCs/>
          <w:sz w:val="18"/>
          <w:szCs w:val="18"/>
        </w:rPr>
      </w:pPr>
      <w:r>
        <w:rPr>
          <w:rFonts w:ascii="Times New Roman" w:hAnsi="Times New Roman"/>
          <w:sz w:val="18"/>
        </w:rPr>
        <w:t>Source : Institut national de la statistique/Estimation pour 2014.</w:t>
      </w:r>
    </w:p>
    <w:p w:rsidR="003A715E" w:rsidRPr="001F1343" w:rsidRDefault="00CA7034" w:rsidP="003A715E">
      <w:pPr>
        <w:tabs>
          <w:tab w:val="num" w:pos="90"/>
        </w:tabs>
        <w:autoSpaceDE w:val="0"/>
        <w:autoSpaceDN w:val="0"/>
        <w:adjustRightInd w:val="0"/>
        <w:spacing w:after="200"/>
        <w:ind w:left="-540" w:right="-608"/>
        <w:rPr>
          <w:rFonts w:ascii="Times New Roman" w:hAnsi="Times New Roman"/>
          <w:bCs/>
          <w:szCs w:val="22"/>
        </w:rPr>
      </w:pPr>
      <w:r>
        <w:rPr>
          <w:rFonts w:ascii="Times New Roman" w:hAnsi="Times New Roman"/>
        </w:rPr>
        <w:t>Selon des estimations, presque 10</w:t>
      </w:r>
      <w:r w:rsidR="003025B9">
        <w:rPr>
          <w:rFonts w:ascii="Times New Roman" w:hAnsi="Times New Roman"/>
        </w:rPr>
        <w:t> </w:t>
      </w:r>
      <w:r>
        <w:rPr>
          <w:rFonts w:ascii="Times New Roman" w:hAnsi="Times New Roman"/>
        </w:rPr>
        <w:t xml:space="preserve">% de la déforestation annuelle totale est </w:t>
      </w:r>
      <w:r w:rsidR="003025B9">
        <w:rPr>
          <w:rFonts w:ascii="Times New Roman" w:hAnsi="Times New Roman"/>
        </w:rPr>
        <w:t>attribuable à</w:t>
      </w:r>
      <w:r>
        <w:rPr>
          <w:rFonts w:ascii="Times New Roman" w:hAnsi="Times New Roman"/>
        </w:rPr>
        <w:t xml:space="preserve"> la production de charbon et de bois de chauffage. Le charbon est produit dans des zones forestières dans des fours traditionnels, et le processus de carbonisation, une fois lancé, est effectué en 5-6 jours. Le charbon et le bois de chauffage sont vendus au poids, </w:t>
      </w:r>
      <w:r w:rsidR="003025B9">
        <w:rPr>
          <w:rFonts w:ascii="Times New Roman" w:hAnsi="Times New Roman"/>
        </w:rPr>
        <w:t>le charbon</w:t>
      </w:r>
      <w:r>
        <w:rPr>
          <w:rFonts w:ascii="Times New Roman" w:hAnsi="Times New Roman"/>
        </w:rPr>
        <w:t xml:space="preserve"> étant transporté dans des sacs de 25 kg. Les prix de vente au détail en milieu rural et périurbain </w:t>
      </w:r>
      <w:r w:rsidR="003025B9">
        <w:rPr>
          <w:rFonts w:ascii="Times New Roman" w:hAnsi="Times New Roman"/>
        </w:rPr>
        <w:t>figurent</w:t>
      </w:r>
      <w:r>
        <w:rPr>
          <w:rFonts w:ascii="Times New Roman" w:hAnsi="Times New Roman"/>
        </w:rPr>
        <w:t xml:space="preserve"> au Tableau 2 ci-dessous :</w:t>
      </w:r>
    </w:p>
    <w:p w:rsidR="00F177D4" w:rsidRPr="001F1343" w:rsidRDefault="00CA7034" w:rsidP="00F177D4">
      <w:pPr>
        <w:tabs>
          <w:tab w:val="num" w:pos="360"/>
        </w:tabs>
        <w:autoSpaceDE w:val="0"/>
        <w:autoSpaceDN w:val="0"/>
        <w:adjustRightInd w:val="0"/>
        <w:spacing w:after="200"/>
        <w:ind w:left="360"/>
        <w:jc w:val="center"/>
        <w:rPr>
          <w:rFonts w:ascii="Times New Roman" w:hAnsi="Times New Roman"/>
          <w:b/>
          <w:bCs/>
          <w:szCs w:val="22"/>
        </w:rPr>
      </w:pPr>
      <w:r>
        <w:rPr>
          <w:rFonts w:ascii="Times New Roman" w:hAnsi="Times New Roman"/>
          <w:b/>
        </w:rPr>
        <w:t>Tableau 2 : Prix du charbon et du bois de chauffage</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4157"/>
        <w:gridCol w:w="3326"/>
      </w:tblGrid>
      <w:tr w:rsidR="003523AD" w:rsidRPr="001F1343" w:rsidTr="003523AD">
        <w:tc>
          <w:tcPr>
            <w:tcW w:w="1664" w:type="dxa"/>
          </w:tcPr>
          <w:p w:rsidR="00F177D4" w:rsidRPr="001F1343" w:rsidRDefault="00CA7034" w:rsidP="00F177D4">
            <w:pPr>
              <w:spacing w:after="0"/>
              <w:jc w:val="left"/>
              <w:rPr>
                <w:rFonts w:ascii="Times New Roman" w:hAnsi="Times New Roman"/>
                <w:szCs w:val="22"/>
              </w:rPr>
            </w:pPr>
            <w:r>
              <w:rPr>
                <w:rFonts w:ascii="Times New Roman" w:hAnsi="Times New Roman"/>
              </w:rPr>
              <w:t>Ménage</w:t>
            </w:r>
          </w:p>
        </w:tc>
        <w:tc>
          <w:tcPr>
            <w:tcW w:w="4157" w:type="dxa"/>
          </w:tcPr>
          <w:p w:rsidR="00F177D4" w:rsidRPr="001F1343" w:rsidRDefault="00CA7034" w:rsidP="00F177D4">
            <w:pPr>
              <w:spacing w:after="0"/>
              <w:jc w:val="left"/>
              <w:rPr>
                <w:rFonts w:ascii="Times New Roman" w:hAnsi="Times New Roman"/>
                <w:szCs w:val="22"/>
              </w:rPr>
            </w:pPr>
            <w:r>
              <w:rPr>
                <w:rFonts w:ascii="Times New Roman" w:hAnsi="Times New Roman"/>
              </w:rPr>
              <w:t>Bois de chauffage (centimes de dollars/kg)</w:t>
            </w:r>
          </w:p>
        </w:tc>
        <w:tc>
          <w:tcPr>
            <w:tcW w:w="3326" w:type="dxa"/>
          </w:tcPr>
          <w:p w:rsidR="00F177D4" w:rsidRPr="001F1343" w:rsidRDefault="00CA7034" w:rsidP="00F177D4">
            <w:pPr>
              <w:spacing w:after="0"/>
              <w:jc w:val="left"/>
              <w:rPr>
                <w:rFonts w:ascii="Times New Roman" w:hAnsi="Times New Roman"/>
                <w:szCs w:val="22"/>
              </w:rPr>
            </w:pPr>
            <w:r>
              <w:rPr>
                <w:rFonts w:ascii="Times New Roman" w:hAnsi="Times New Roman"/>
              </w:rPr>
              <w:t>Charbon (centimes de dollars/kg)</w:t>
            </w:r>
          </w:p>
        </w:tc>
      </w:tr>
      <w:tr w:rsidR="003523AD" w:rsidRPr="001F1343" w:rsidTr="003523AD">
        <w:tc>
          <w:tcPr>
            <w:tcW w:w="1664" w:type="dxa"/>
          </w:tcPr>
          <w:p w:rsidR="00F177D4" w:rsidRPr="001F1343" w:rsidRDefault="00CA7034" w:rsidP="00F177D4">
            <w:pPr>
              <w:spacing w:after="0"/>
              <w:jc w:val="left"/>
              <w:rPr>
                <w:rFonts w:ascii="Times New Roman" w:hAnsi="Times New Roman"/>
                <w:szCs w:val="22"/>
              </w:rPr>
            </w:pPr>
            <w:r>
              <w:rPr>
                <w:rFonts w:ascii="Times New Roman" w:hAnsi="Times New Roman"/>
              </w:rPr>
              <w:t>Périurbain</w:t>
            </w:r>
          </w:p>
        </w:tc>
        <w:tc>
          <w:tcPr>
            <w:tcW w:w="4157" w:type="dxa"/>
          </w:tcPr>
          <w:p w:rsidR="00F177D4" w:rsidRPr="001F1343" w:rsidRDefault="00CA7034" w:rsidP="00F177D4">
            <w:pPr>
              <w:spacing w:after="0"/>
              <w:jc w:val="center"/>
              <w:rPr>
                <w:rFonts w:ascii="Times New Roman" w:hAnsi="Times New Roman"/>
                <w:szCs w:val="22"/>
              </w:rPr>
            </w:pPr>
            <w:r>
              <w:rPr>
                <w:rFonts w:ascii="Times New Roman" w:hAnsi="Times New Roman"/>
              </w:rPr>
              <w:t>30</w:t>
            </w:r>
          </w:p>
        </w:tc>
        <w:tc>
          <w:tcPr>
            <w:tcW w:w="3326" w:type="dxa"/>
          </w:tcPr>
          <w:p w:rsidR="00F177D4" w:rsidRPr="001F1343" w:rsidRDefault="00CA7034" w:rsidP="00F177D4">
            <w:pPr>
              <w:spacing w:after="0"/>
              <w:jc w:val="center"/>
              <w:rPr>
                <w:rFonts w:ascii="Times New Roman" w:hAnsi="Times New Roman"/>
                <w:szCs w:val="22"/>
              </w:rPr>
            </w:pPr>
            <w:r>
              <w:rPr>
                <w:rFonts w:ascii="Times New Roman" w:hAnsi="Times New Roman"/>
              </w:rPr>
              <w:t>57</w:t>
            </w:r>
          </w:p>
        </w:tc>
      </w:tr>
      <w:tr w:rsidR="003523AD" w:rsidRPr="001F1343" w:rsidTr="003523AD">
        <w:tc>
          <w:tcPr>
            <w:tcW w:w="1664" w:type="dxa"/>
          </w:tcPr>
          <w:p w:rsidR="00F177D4" w:rsidRPr="001F1343" w:rsidRDefault="00CA7034" w:rsidP="00F177D4">
            <w:pPr>
              <w:spacing w:after="0"/>
              <w:jc w:val="left"/>
              <w:rPr>
                <w:rFonts w:ascii="Times New Roman" w:hAnsi="Times New Roman"/>
                <w:szCs w:val="22"/>
              </w:rPr>
            </w:pPr>
            <w:r>
              <w:rPr>
                <w:rFonts w:ascii="Times New Roman" w:hAnsi="Times New Roman"/>
              </w:rPr>
              <w:t>Rural</w:t>
            </w:r>
          </w:p>
        </w:tc>
        <w:tc>
          <w:tcPr>
            <w:tcW w:w="4157" w:type="dxa"/>
          </w:tcPr>
          <w:p w:rsidR="00F177D4" w:rsidRPr="001F1343" w:rsidRDefault="00CA7034" w:rsidP="00F177D4">
            <w:pPr>
              <w:spacing w:after="0"/>
              <w:jc w:val="center"/>
              <w:rPr>
                <w:rFonts w:ascii="Times New Roman" w:hAnsi="Times New Roman"/>
                <w:szCs w:val="22"/>
              </w:rPr>
            </w:pPr>
            <w:r>
              <w:rPr>
                <w:rFonts w:ascii="Times New Roman" w:hAnsi="Times New Roman"/>
              </w:rPr>
              <w:t>17</w:t>
            </w:r>
          </w:p>
        </w:tc>
        <w:tc>
          <w:tcPr>
            <w:tcW w:w="3326" w:type="dxa"/>
          </w:tcPr>
          <w:p w:rsidR="00F177D4" w:rsidRPr="001F1343" w:rsidRDefault="00CA7034" w:rsidP="00F177D4">
            <w:pPr>
              <w:spacing w:after="0"/>
              <w:jc w:val="center"/>
              <w:rPr>
                <w:rFonts w:ascii="Times New Roman" w:hAnsi="Times New Roman"/>
                <w:szCs w:val="22"/>
              </w:rPr>
            </w:pPr>
            <w:r>
              <w:rPr>
                <w:rFonts w:ascii="Times New Roman" w:hAnsi="Times New Roman"/>
              </w:rPr>
              <w:t>29</w:t>
            </w:r>
          </w:p>
        </w:tc>
      </w:tr>
    </w:tbl>
    <w:p w:rsidR="00F177D4" w:rsidRPr="001F1343" w:rsidRDefault="00F177D4" w:rsidP="00F177D4">
      <w:pPr>
        <w:tabs>
          <w:tab w:val="num" w:pos="360"/>
        </w:tabs>
        <w:autoSpaceDE w:val="0"/>
        <w:autoSpaceDN w:val="0"/>
        <w:adjustRightInd w:val="0"/>
        <w:spacing w:after="200"/>
        <w:ind w:left="360"/>
        <w:rPr>
          <w:rFonts w:ascii="Times New Roman" w:hAnsi="Times New Roman"/>
          <w:bCs/>
          <w:szCs w:val="22"/>
        </w:rPr>
      </w:pPr>
    </w:p>
    <w:p w:rsidR="00F177D4" w:rsidRPr="001F1343" w:rsidRDefault="00CA7034" w:rsidP="00F177D4">
      <w:pPr>
        <w:tabs>
          <w:tab w:val="num" w:pos="90"/>
        </w:tabs>
        <w:autoSpaceDE w:val="0"/>
        <w:autoSpaceDN w:val="0"/>
        <w:adjustRightInd w:val="0"/>
        <w:spacing w:after="200"/>
        <w:ind w:left="-540" w:right="-608"/>
        <w:rPr>
          <w:rFonts w:ascii="Times New Roman" w:hAnsi="Times New Roman"/>
          <w:bCs/>
          <w:szCs w:val="22"/>
        </w:rPr>
      </w:pPr>
      <w:r>
        <w:rPr>
          <w:rFonts w:ascii="Times New Roman" w:hAnsi="Times New Roman"/>
        </w:rPr>
        <w:t xml:space="preserve">En 2014, un ménage moyen composé de 6 personnes utilisait tous les jours 1 kg de charbon ou 3,3 kg de bois ou une combinaison des deux. </w:t>
      </w:r>
      <w:r w:rsidR="00D5208F">
        <w:rPr>
          <w:rFonts w:ascii="Times New Roman" w:hAnsi="Times New Roman"/>
        </w:rPr>
        <w:t>Également</w:t>
      </w:r>
      <w:r>
        <w:rPr>
          <w:rFonts w:ascii="Times New Roman" w:hAnsi="Times New Roman"/>
        </w:rPr>
        <w:t>, les dépenses mensuelles moyennes en charbon par ménage s'élèvent à 17,25 $ en milieu périurbain et 8,62 $ en milieu rural ; pour le bois de chauffage, ces mêmes chiffres s'élèvent respectivement à 30,19 $ et 17,25 $.</w:t>
      </w:r>
    </w:p>
    <w:p w:rsidR="00F177D4" w:rsidRPr="001F1343" w:rsidRDefault="00CA7034" w:rsidP="00F177D4">
      <w:pPr>
        <w:tabs>
          <w:tab w:val="num" w:pos="90"/>
        </w:tabs>
        <w:autoSpaceDE w:val="0"/>
        <w:autoSpaceDN w:val="0"/>
        <w:adjustRightInd w:val="0"/>
        <w:spacing w:after="200"/>
        <w:ind w:left="-540" w:right="-608"/>
        <w:rPr>
          <w:rFonts w:ascii="Times New Roman" w:hAnsi="Times New Roman"/>
          <w:bCs/>
          <w:szCs w:val="22"/>
        </w:rPr>
      </w:pPr>
      <w:r>
        <w:rPr>
          <w:rFonts w:ascii="Times New Roman" w:hAnsi="Times New Roman"/>
        </w:rPr>
        <w:t xml:space="preserve">Le gouvernement n'ignore pas que la grande dépendance du pays à l'égard de la biomasse forestière pour la majorité des besoins énergétiques de la population, aussi bien en milieu rural qu'en milieu urbain/périurbain, n'est pas soutenable. Ainsi, les décideurs ont conscience de la nécessité de se tourner vers des formes d'énergie plus durables et modernes. Étant donné l'abondance des déjections animales, des déchets agricoles et d'autres formes de biomasse non forestière, les technologies à base de biogaz utilisant ces sous-produits agricoles constituent une alternative intéressante, en tant que combustible pour la cuisine et lisier pour l'engrais. De plus, une utilisation accrue du biogaz, en lieu et place de l'utilisation de biomasse forestière, réduira la pression exercée sur les ressources forestières et l'utilisation non durable des terres. Ainsi, la transformation du secteur énergétique domestique (et commercial) en un système économiquement viable et respectueux de l'environnement requiert une approche globale et multidimensionnelle eu égard au développement de politiques et cadres de planification adéquats, et des mesures incitatives afin d'intégrer pleinement les technologies à base de biogaz </w:t>
      </w:r>
      <w:r w:rsidR="00D5208F">
        <w:rPr>
          <w:rFonts w:ascii="Times New Roman" w:hAnsi="Times New Roman"/>
        </w:rPr>
        <w:t>à la palette de ressources</w:t>
      </w:r>
      <w:r>
        <w:rPr>
          <w:rFonts w:ascii="Times New Roman" w:hAnsi="Times New Roman"/>
        </w:rPr>
        <w:t xml:space="preserve"> énergétique</w:t>
      </w:r>
      <w:r w:rsidR="00D5208F">
        <w:rPr>
          <w:rFonts w:ascii="Times New Roman" w:hAnsi="Times New Roman"/>
        </w:rPr>
        <w:t>s</w:t>
      </w:r>
      <w:r>
        <w:rPr>
          <w:rFonts w:ascii="Times New Roman" w:hAnsi="Times New Roman"/>
        </w:rPr>
        <w:t xml:space="preserve"> du pays.</w:t>
      </w:r>
    </w:p>
    <w:p w:rsidR="00F177D4" w:rsidRPr="001F1343" w:rsidRDefault="00CA7034" w:rsidP="00F177D4">
      <w:pPr>
        <w:tabs>
          <w:tab w:val="num" w:pos="90"/>
        </w:tabs>
        <w:autoSpaceDE w:val="0"/>
        <w:autoSpaceDN w:val="0"/>
        <w:adjustRightInd w:val="0"/>
        <w:spacing w:after="200"/>
        <w:ind w:left="-540" w:right="-608"/>
        <w:rPr>
          <w:rFonts w:ascii="Times New Roman" w:hAnsi="Times New Roman"/>
          <w:bCs/>
          <w:szCs w:val="22"/>
        </w:rPr>
      </w:pPr>
      <w:r>
        <w:rPr>
          <w:rFonts w:ascii="Times New Roman" w:hAnsi="Times New Roman"/>
        </w:rPr>
        <w:t xml:space="preserve">Le sous-secteur des énergies renouvelables relève de 2 institutions distinctes mais complémentaires, aux responsabilités clairement définies : </w:t>
      </w:r>
    </w:p>
    <w:p w:rsidR="00F177D4" w:rsidRPr="001F1343" w:rsidRDefault="00CA7034" w:rsidP="000C4537">
      <w:pPr>
        <w:pStyle w:val="Paragraphedeliste"/>
        <w:numPr>
          <w:ilvl w:val="0"/>
          <w:numId w:val="11"/>
        </w:numPr>
        <w:tabs>
          <w:tab w:val="num" w:pos="90"/>
        </w:tabs>
        <w:autoSpaceDE w:val="0"/>
        <w:autoSpaceDN w:val="0"/>
        <w:adjustRightInd w:val="0"/>
        <w:spacing w:after="200"/>
        <w:ind w:left="90" w:right="-608"/>
        <w:rPr>
          <w:rFonts w:ascii="Times New Roman" w:hAnsi="Times New Roman"/>
          <w:bCs/>
          <w:szCs w:val="22"/>
        </w:rPr>
      </w:pPr>
      <w:r>
        <w:rPr>
          <w:rFonts w:ascii="Times New Roman" w:hAnsi="Times New Roman"/>
        </w:rPr>
        <w:t xml:space="preserve">Ministère de l'Énergie : </w:t>
      </w:r>
      <w:r w:rsidR="00D5208F">
        <w:rPr>
          <w:rFonts w:ascii="Times New Roman" w:hAnsi="Times New Roman"/>
        </w:rPr>
        <w:t>i</w:t>
      </w:r>
      <w:r>
        <w:rPr>
          <w:rFonts w:ascii="Times New Roman" w:hAnsi="Times New Roman"/>
        </w:rPr>
        <w:t>l est chargé de la formulation de la politique sectorielle et de la définition de normes relatives aux technologies basées sur des énergies renouvelables. Dans le cadre de la mise en œuvre de cette politique, il compte avec le soutien de la Direction nationale de l'énergie qui est chargée de définir les directives politiques et d'assurer le suivi de la mise en œuvre du projet.</w:t>
      </w:r>
    </w:p>
    <w:p w:rsidR="003A684B" w:rsidRPr="001F1343" w:rsidRDefault="00CA7034" w:rsidP="000C4537">
      <w:pPr>
        <w:pStyle w:val="Paragraphedeliste"/>
        <w:numPr>
          <w:ilvl w:val="0"/>
          <w:numId w:val="11"/>
        </w:numPr>
        <w:tabs>
          <w:tab w:val="num" w:pos="90"/>
        </w:tabs>
        <w:autoSpaceDE w:val="0"/>
        <w:autoSpaceDN w:val="0"/>
        <w:adjustRightInd w:val="0"/>
        <w:spacing w:after="200"/>
        <w:ind w:left="90" w:right="-608"/>
        <w:rPr>
          <w:rFonts w:ascii="Times New Roman" w:hAnsi="Times New Roman"/>
          <w:bCs/>
          <w:szCs w:val="22"/>
        </w:rPr>
      </w:pPr>
      <w:r>
        <w:rPr>
          <w:rFonts w:ascii="Times New Roman" w:hAnsi="Times New Roman"/>
        </w:rPr>
        <w:t xml:space="preserve">Ministère de l'Enseignement supérieur et la Recherche scientifique : </w:t>
      </w:r>
      <w:r w:rsidR="00D5208F">
        <w:rPr>
          <w:rFonts w:ascii="Times New Roman" w:hAnsi="Times New Roman"/>
        </w:rPr>
        <w:t>i</w:t>
      </w:r>
      <w:r>
        <w:rPr>
          <w:rFonts w:ascii="Times New Roman" w:hAnsi="Times New Roman"/>
        </w:rPr>
        <w:t>l est chargé de la formulation et de la mise en œuvre de la politique du gouvernement relative à la recherche en matière d'énergies renouvelables. Cette mission est accomplie via le CERESCOR (Centre de recherche scientifique de Conakry-Rogbanè).</w:t>
      </w:r>
    </w:p>
    <w:p w:rsidR="00F177D4" w:rsidRPr="001F1343" w:rsidRDefault="00CA7034" w:rsidP="00F177D4">
      <w:pPr>
        <w:tabs>
          <w:tab w:val="num" w:pos="90"/>
        </w:tabs>
        <w:autoSpaceDE w:val="0"/>
        <w:autoSpaceDN w:val="0"/>
        <w:adjustRightInd w:val="0"/>
        <w:spacing w:after="200"/>
        <w:ind w:left="-360" w:right="-360"/>
        <w:rPr>
          <w:rFonts w:ascii="Times New Roman" w:hAnsi="Times New Roman"/>
          <w:bCs/>
          <w:szCs w:val="22"/>
        </w:rPr>
      </w:pPr>
      <w:r>
        <w:rPr>
          <w:rFonts w:ascii="Times New Roman" w:hAnsi="Times New Roman"/>
        </w:rPr>
        <w:lastRenderedPageBreak/>
        <w:t>En 2007, le gouvernement a adopté une Politique énergétique nationale prévoyant les principales priorités suivantes :</w:t>
      </w:r>
    </w:p>
    <w:p w:rsidR="00F177D4" w:rsidRPr="001F1343" w:rsidRDefault="00CA7034" w:rsidP="00F177D4">
      <w:pPr>
        <w:tabs>
          <w:tab w:val="num" w:pos="90"/>
        </w:tabs>
        <w:autoSpaceDE w:val="0"/>
        <w:autoSpaceDN w:val="0"/>
        <w:adjustRightInd w:val="0"/>
        <w:spacing w:after="0"/>
        <w:ind w:left="-360" w:right="-360"/>
        <w:rPr>
          <w:rFonts w:ascii="Times New Roman" w:hAnsi="Times New Roman"/>
          <w:bCs/>
          <w:szCs w:val="22"/>
        </w:rPr>
      </w:pPr>
      <w:r>
        <w:rPr>
          <w:rFonts w:ascii="Times New Roman" w:hAnsi="Times New Roman"/>
        </w:rPr>
        <w:t>•</w:t>
      </w:r>
      <w:r>
        <w:rPr>
          <w:rFonts w:ascii="Times New Roman" w:hAnsi="Times New Roman"/>
        </w:rPr>
        <w:tab/>
        <w:t>Réforme institutionnelle d'Électricité de Guinée (EDG).</w:t>
      </w:r>
    </w:p>
    <w:p w:rsidR="00F177D4" w:rsidRPr="001F1343" w:rsidRDefault="00CA7034" w:rsidP="00F177D4">
      <w:pPr>
        <w:tabs>
          <w:tab w:val="num" w:pos="90"/>
        </w:tabs>
        <w:autoSpaceDE w:val="0"/>
        <w:autoSpaceDN w:val="0"/>
        <w:adjustRightInd w:val="0"/>
        <w:spacing w:after="0"/>
        <w:ind w:left="90" w:right="-608" w:hanging="450"/>
        <w:rPr>
          <w:rFonts w:ascii="Times New Roman" w:hAnsi="Times New Roman"/>
          <w:bCs/>
          <w:szCs w:val="22"/>
        </w:rPr>
      </w:pPr>
      <w:r>
        <w:rPr>
          <w:rFonts w:ascii="Times New Roman" w:hAnsi="Times New Roman"/>
        </w:rPr>
        <w:t>•</w:t>
      </w:r>
      <w:r>
        <w:rPr>
          <w:rFonts w:ascii="Times New Roman" w:hAnsi="Times New Roman"/>
        </w:rPr>
        <w:tab/>
        <w:t>Création d'une architecture institutionnelle et organisationnelle visant à promouvoir l'utilisation des énergies renouvelables, le développement des biocarburants et l'accès aux services énergétiques en milieu rural.</w:t>
      </w:r>
    </w:p>
    <w:p w:rsidR="00F177D4" w:rsidRPr="001F1343" w:rsidRDefault="00CA7034" w:rsidP="0036377C">
      <w:pPr>
        <w:tabs>
          <w:tab w:val="num" w:pos="90"/>
        </w:tabs>
        <w:autoSpaceDE w:val="0"/>
        <w:autoSpaceDN w:val="0"/>
        <w:adjustRightInd w:val="0"/>
        <w:spacing w:after="0"/>
        <w:ind w:left="90" w:right="-360" w:hanging="450"/>
        <w:rPr>
          <w:rFonts w:ascii="Times New Roman" w:hAnsi="Times New Roman"/>
          <w:bCs/>
          <w:szCs w:val="22"/>
        </w:rPr>
      </w:pPr>
      <w:r>
        <w:rPr>
          <w:rFonts w:ascii="Times New Roman" w:hAnsi="Times New Roman"/>
        </w:rPr>
        <w:t>•</w:t>
      </w:r>
      <w:r>
        <w:rPr>
          <w:rFonts w:ascii="Times New Roman" w:hAnsi="Times New Roman"/>
        </w:rPr>
        <w:tab/>
        <w:t>Développement d'une stratégie énergétique afin d'assurer la disponibilité de l'énergie dans les principales zones urbaines.</w:t>
      </w:r>
    </w:p>
    <w:p w:rsidR="00F177D4" w:rsidRPr="001F1343" w:rsidRDefault="00CA7034" w:rsidP="00F177D4">
      <w:pPr>
        <w:tabs>
          <w:tab w:val="num" w:pos="90"/>
        </w:tabs>
        <w:autoSpaceDE w:val="0"/>
        <w:autoSpaceDN w:val="0"/>
        <w:adjustRightInd w:val="0"/>
        <w:spacing w:after="0"/>
        <w:ind w:left="-360" w:right="-360"/>
        <w:rPr>
          <w:rFonts w:ascii="Times New Roman" w:hAnsi="Times New Roman"/>
          <w:bCs/>
          <w:szCs w:val="22"/>
        </w:rPr>
      </w:pPr>
      <w:r>
        <w:rPr>
          <w:rFonts w:ascii="Times New Roman" w:hAnsi="Times New Roman"/>
        </w:rPr>
        <w:t>•</w:t>
      </w:r>
      <w:r>
        <w:rPr>
          <w:rFonts w:ascii="Times New Roman" w:hAnsi="Times New Roman"/>
        </w:rPr>
        <w:tab/>
        <w:t>Participation du secteur privé dans la production d'énergies décentralisées et hors réseau.</w:t>
      </w:r>
    </w:p>
    <w:p w:rsidR="00F177D4" w:rsidRPr="001F1343" w:rsidRDefault="00CA7034" w:rsidP="00F177D4">
      <w:pPr>
        <w:tabs>
          <w:tab w:val="num" w:pos="90"/>
        </w:tabs>
        <w:autoSpaceDE w:val="0"/>
        <w:autoSpaceDN w:val="0"/>
        <w:adjustRightInd w:val="0"/>
        <w:spacing w:after="200"/>
        <w:ind w:left="90" w:right="-608" w:hanging="450"/>
        <w:rPr>
          <w:rFonts w:ascii="Times New Roman" w:hAnsi="Times New Roman"/>
          <w:bCs/>
          <w:szCs w:val="22"/>
        </w:rPr>
      </w:pPr>
      <w:r>
        <w:rPr>
          <w:rFonts w:ascii="Times New Roman" w:hAnsi="Times New Roman"/>
        </w:rPr>
        <w:t>•</w:t>
      </w:r>
      <w:r>
        <w:rPr>
          <w:rFonts w:ascii="Times New Roman" w:hAnsi="Times New Roman"/>
        </w:rPr>
        <w:tab/>
        <w:t>Définition de mesures institutionnelles garantissant la cohérence entre le développement énergétique et la hausse de la demande en énergie des ménages et industries (telles que l'industrie minière et de transformation).</w:t>
      </w:r>
    </w:p>
    <w:p w:rsidR="00B0487F" w:rsidRPr="001F1343" w:rsidRDefault="00CA7034" w:rsidP="00B0487F">
      <w:pPr>
        <w:autoSpaceDE w:val="0"/>
        <w:autoSpaceDN w:val="0"/>
        <w:adjustRightInd w:val="0"/>
        <w:spacing w:after="200"/>
        <w:ind w:left="-540" w:right="-608"/>
        <w:rPr>
          <w:rFonts w:ascii="Times New Roman" w:hAnsi="Times New Roman"/>
          <w:bCs/>
          <w:szCs w:val="22"/>
        </w:rPr>
      </w:pPr>
      <w:r>
        <w:rPr>
          <w:rFonts w:ascii="Times New Roman" w:hAnsi="Times New Roman"/>
        </w:rPr>
        <w:t>L'objectif de la Politique énergétique nationale a été précisé en 2009 dans un document intitulé « Lettre de politique de développement du secteur énergétique (LPDSE) » mis à jour en mai 2012 afin d'intégrer des éléments de l'initiative « Énergie durable pour tous », initiative lancée en juin 2012 par le Secrétaire général des Nations Unies. Les objectifs de cette initiative sont de « garantir l'accès universel aux services énergétiques modernes », « doubler le taux d'amélioration de l'efficacité énergétique à l'échelle mondiale », et « doubler la part des énergies renouvelables dans le mix énergétique mondial ».</w:t>
      </w:r>
    </w:p>
    <w:p w:rsidR="00B0487F" w:rsidRPr="001F1343" w:rsidRDefault="00CA7034" w:rsidP="00B0487F">
      <w:pPr>
        <w:autoSpaceDE w:val="0"/>
        <w:autoSpaceDN w:val="0"/>
        <w:adjustRightInd w:val="0"/>
        <w:spacing w:after="200"/>
        <w:ind w:left="-540" w:right="-608"/>
        <w:rPr>
          <w:rFonts w:ascii="Times New Roman" w:hAnsi="Times New Roman"/>
          <w:bCs/>
          <w:szCs w:val="22"/>
        </w:rPr>
      </w:pPr>
      <w:r>
        <w:rPr>
          <w:rFonts w:ascii="Times New Roman" w:hAnsi="Times New Roman"/>
        </w:rPr>
        <w:t xml:space="preserve">Un </w:t>
      </w:r>
      <w:r w:rsidR="00E0433E">
        <w:rPr>
          <w:rFonts w:ascii="Times New Roman" w:hAnsi="Times New Roman"/>
        </w:rPr>
        <w:t>soutien important</w:t>
      </w:r>
      <w:r>
        <w:rPr>
          <w:rFonts w:ascii="Times New Roman" w:hAnsi="Times New Roman"/>
        </w:rPr>
        <w:t xml:space="preserve"> aux énergies renouvelables </w:t>
      </w:r>
      <w:r w:rsidR="00E0433E">
        <w:rPr>
          <w:rFonts w:ascii="Times New Roman" w:hAnsi="Times New Roman"/>
        </w:rPr>
        <w:t>s’inscrit dans le cadre</w:t>
      </w:r>
      <w:r>
        <w:rPr>
          <w:rFonts w:ascii="Times New Roman" w:hAnsi="Times New Roman"/>
        </w:rPr>
        <w:t xml:space="preserve"> de la stratégie énergétique nationale qui vise à permettre au pays de diversifier et de sécuriser son approvisionnement en énergie. En fait, la stratégie de mise en œuvre de la LPDSE </w:t>
      </w:r>
      <w:r w:rsidR="001F52B2">
        <w:rPr>
          <w:rFonts w:ascii="Times New Roman" w:hAnsi="Times New Roman"/>
        </w:rPr>
        <w:t>prévoit</w:t>
      </w:r>
      <w:r>
        <w:rPr>
          <w:rFonts w:ascii="Times New Roman" w:hAnsi="Times New Roman"/>
        </w:rPr>
        <w:t xml:space="preserve"> un développement sur 20 ans du secteur, axé sur l'approvisionnement et la demande en énergie, et </w:t>
      </w:r>
      <w:r w:rsidR="001F52B2">
        <w:rPr>
          <w:rFonts w:ascii="Times New Roman" w:hAnsi="Times New Roman"/>
        </w:rPr>
        <w:t>visant à</w:t>
      </w:r>
      <w:r>
        <w:rPr>
          <w:rFonts w:ascii="Times New Roman" w:hAnsi="Times New Roman"/>
        </w:rPr>
        <w:t xml:space="preserve"> l'efficacité énergétique ainsi </w:t>
      </w:r>
      <w:r w:rsidR="001F52B2">
        <w:rPr>
          <w:rFonts w:ascii="Times New Roman" w:hAnsi="Times New Roman"/>
        </w:rPr>
        <w:t>qu’au</w:t>
      </w:r>
      <w:r>
        <w:rPr>
          <w:rFonts w:ascii="Times New Roman" w:hAnsi="Times New Roman"/>
        </w:rPr>
        <w:t xml:space="preserve"> développement des énergies renouvelables. </w:t>
      </w:r>
    </w:p>
    <w:p w:rsidR="00B0487F" w:rsidRPr="001F1343" w:rsidRDefault="00CA7034" w:rsidP="00B0487F">
      <w:pPr>
        <w:autoSpaceDE w:val="0"/>
        <w:autoSpaceDN w:val="0"/>
        <w:adjustRightInd w:val="0"/>
        <w:spacing w:after="200"/>
        <w:ind w:left="-540" w:right="-608"/>
        <w:rPr>
          <w:rFonts w:ascii="Times New Roman" w:hAnsi="Times New Roman"/>
          <w:bCs/>
          <w:szCs w:val="22"/>
        </w:rPr>
      </w:pPr>
      <w:r>
        <w:rPr>
          <w:rFonts w:ascii="Times New Roman" w:hAnsi="Times New Roman"/>
        </w:rPr>
        <w:t>Le Document de stratégie pour la réduction de la pauvreté (DSRP III) 2012-2015 s'inspire des DRSP I et DRSP II afin de renforcer la démocratie, la stabilité macroéconomique, le développement humain et la gestion de l'environnement. Afin de satisfaire les besoins en énergie du pays à partir de la biomasse et des énergies renouvelables, le DSRP III souligne l'importance de « mettre l'accent sur des interventions liées à l'utilisation rationnelle</w:t>
      </w:r>
      <w:r w:rsidR="001F52B2">
        <w:rPr>
          <w:rFonts w:ascii="Times New Roman" w:hAnsi="Times New Roman"/>
        </w:rPr>
        <w:t xml:space="preserve"> des ressources forestières, </w:t>
      </w:r>
      <w:r>
        <w:rPr>
          <w:rFonts w:ascii="Times New Roman" w:hAnsi="Times New Roman"/>
        </w:rPr>
        <w:t xml:space="preserve">poursuivre le programme relatif </w:t>
      </w:r>
      <w:r w:rsidR="001F52B2">
        <w:rPr>
          <w:rFonts w:ascii="Times New Roman" w:hAnsi="Times New Roman"/>
        </w:rPr>
        <w:t xml:space="preserve">aux cuisinières améliorées, et </w:t>
      </w:r>
      <w:r>
        <w:rPr>
          <w:rFonts w:ascii="Times New Roman" w:hAnsi="Times New Roman"/>
        </w:rPr>
        <w:t>promouvoir les énergies renouvelables (biogaz, énergie solaire). La mise en œuvre de l'électrification rurale sera menée via la diffusion du modèle décentralisé testé avec succès ».</w:t>
      </w:r>
    </w:p>
    <w:p w:rsidR="00B0487F" w:rsidRPr="001F1343" w:rsidRDefault="00CA7034" w:rsidP="00B0487F">
      <w:pPr>
        <w:autoSpaceDE w:val="0"/>
        <w:autoSpaceDN w:val="0"/>
        <w:adjustRightInd w:val="0"/>
        <w:spacing w:after="200"/>
        <w:ind w:left="-540" w:right="-608"/>
        <w:rPr>
          <w:rFonts w:ascii="Times New Roman" w:hAnsi="Times New Roman"/>
          <w:bCs/>
          <w:szCs w:val="22"/>
        </w:rPr>
      </w:pPr>
      <w:r>
        <w:rPr>
          <w:rFonts w:ascii="Times New Roman" w:hAnsi="Times New Roman"/>
        </w:rPr>
        <w:t xml:space="preserve">Avec l'appui de la BAD (Banque africaine de développement), la Guinée a effectué un exercice de formulation de Mesures d'atténuation adaptées au contexte national (MAAN) qui a débouché sur la publication en juillet 2012 du rapport MAAN. Le rapport </w:t>
      </w:r>
      <w:r w:rsidR="00740A6B">
        <w:rPr>
          <w:rFonts w:ascii="Times New Roman" w:hAnsi="Times New Roman"/>
        </w:rPr>
        <w:t>identifie</w:t>
      </w:r>
      <w:r>
        <w:rPr>
          <w:rFonts w:ascii="Times New Roman" w:hAnsi="Times New Roman"/>
        </w:rPr>
        <w:t xml:space="preserve"> les secteurs dans lesquels il serait possible d'atténuer les effets du changement climatique, précise les scénarios d'atténuation et </w:t>
      </w:r>
      <w:r w:rsidR="00740A6B">
        <w:rPr>
          <w:rFonts w:ascii="Times New Roman" w:hAnsi="Times New Roman"/>
        </w:rPr>
        <w:t xml:space="preserve">propose </w:t>
      </w:r>
      <w:r>
        <w:rPr>
          <w:rFonts w:ascii="Times New Roman" w:hAnsi="Times New Roman"/>
        </w:rPr>
        <w:t>une liste de projets à fort potentiel d'atténua</w:t>
      </w:r>
      <w:r w:rsidR="006F7F4D">
        <w:rPr>
          <w:rFonts w:ascii="Times New Roman" w:hAnsi="Times New Roman"/>
        </w:rPr>
        <w:t>tion pouvant être mis en œuvre.</w:t>
      </w:r>
      <w:r>
        <w:rPr>
          <w:rFonts w:ascii="Times New Roman" w:hAnsi="Times New Roman"/>
        </w:rPr>
        <w:t xml:space="preserve"> L'exercice de formulation de MAAN se concentre sur les 6 secteurs suivants : énergie, agriculture, sylviculture (CATF et REDD), processus industriels, déchets et transport. Entre autres, les MAAN recommandent la formulation et la mise en œuvre de stratégies de développement des énergies renouvelables et de bonnes pratiques de gestion des déchets en matière de développement agricole</w:t>
      </w:r>
      <w:r w:rsidR="00E97E42">
        <w:rPr>
          <w:rFonts w:ascii="Times New Roman" w:hAnsi="Times New Roman"/>
        </w:rPr>
        <w:t>,</w:t>
      </w:r>
      <w:r>
        <w:rPr>
          <w:rFonts w:ascii="Times New Roman" w:hAnsi="Times New Roman"/>
        </w:rPr>
        <w:t xml:space="preserve"> via la production et l'utilisation du biogaz et du lisier </w:t>
      </w:r>
      <w:r w:rsidR="00E97E42">
        <w:rPr>
          <w:rFonts w:ascii="Times New Roman" w:hAnsi="Times New Roman"/>
        </w:rPr>
        <w:t>qui en sont issus.</w:t>
      </w:r>
    </w:p>
    <w:p w:rsidR="00F177D4" w:rsidRPr="001F1343" w:rsidRDefault="00CA7034" w:rsidP="00B0487F">
      <w:pPr>
        <w:autoSpaceDE w:val="0"/>
        <w:autoSpaceDN w:val="0"/>
        <w:adjustRightInd w:val="0"/>
        <w:spacing w:after="200"/>
        <w:ind w:left="-540" w:right="-608"/>
        <w:rPr>
          <w:rFonts w:ascii="Times New Roman" w:hAnsi="Times New Roman"/>
          <w:bCs/>
          <w:szCs w:val="22"/>
        </w:rPr>
      </w:pPr>
      <w:r>
        <w:rPr>
          <w:rFonts w:ascii="Times New Roman" w:hAnsi="Times New Roman"/>
        </w:rPr>
        <w:t xml:space="preserve">Eu égard aux émissions de GES, la première communication nationale à la CCNUCC élaborée en août 2002 (la seconde communication nationale est toujours en cours d'élaboration) a indiqué que le secteur énergétique était le secteur </w:t>
      </w:r>
      <w:r w:rsidR="00E97E42">
        <w:rPr>
          <w:rFonts w:ascii="Times New Roman" w:hAnsi="Times New Roman"/>
        </w:rPr>
        <w:t>responsable de l’essentiel des</w:t>
      </w:r>
      <w:r>
        <w:rPr>
          <w:rFonts w:ascii="Times New Roman" w:hAnsi="Times New Roman"/>
        </w:rPr>
        <w:t xml:space="preserve"> émissions de gaz à effet de serre dans le pays, à savoir 11,24 millions tCO2 en 1994, sur un total de 14,27 millions tCO2 pour l'ensemble du pays. Toutefois, les capacités d'absorption du pays au cours de la même année s'élevaient à 17,60 millions tCO2, permettant à la Gu</w:t>
      </w:r>
      <w:r w:rsidR="00E97E42">
        <w:rPr>
          <w:rFonts w:ascii="Times New Roman" w:hAnsi="Times New Roman"/>
        </w:rPr>
        <w:t xml:space="preserve">inée d'absorber plus de la totalité des </w:t>
      </w:r>
      <w:r>
        <w:rPr>
          <w:rFonts w:ascii="Times New Roman" w:hAnsi="Times New Roman"/>
        </w:rPr>
        <w:t xml:space="preserve">gaz à effet de serre. En l'absence de mesures d'atténuation et avec l'augmentation de la déforestation provoquée par la consommation de bois pour la cuisine, </w:t>
      </w:r>
      <w:r w:rsidR="00543BBB">
        <w:rPr>
          <w:rFonts w:ascii="Times New Roman" w:hAnsi="Times New Roman"/>
        </w:rPr>
        <w:t xml:space="preserve">on peut s’attendre à ce </w:t>
      </w:r>
      <w:r w:rsidR="00543BBB">
        <w:rPr>
          <w:rFonts w:ascii="Times New Roman" w:hAnsi="Times New Roman"/>
        </w:rPr>
        <w:tab/>
        <w:t>que</w:t>
      </w:r>
      <w:r>
        <w:rPr>
          <w:rFonts w:ascii="Times New Roman" w:hAnsi="Times New Roman"/>
        </w:rPr>
        <w:t xml:space="preserve"> les capacités d'absorption des forêts diminuent au cours des années à venir ; aucune prévision n'a toutefois été faite </w:t>
      </w:r>
      <w:r w:rsidR="00543BBB">
        <w:rPr>
          <w:rFonts w:ascii="Times New Roman" w:hAnsi="Times New Roman"/>
        </w:rPr>
        <w:t>à cet effet</w:t>
      </w:r>
      <w:r>
        <w:rPr>
          <w:rFonts w:ascii="Times New Roman" w:hAnsi="Times New Roman"/>
        </w:rPr>
        <w:t xml:space="preserve">. Par conséquent, le recours au biogaz pour la cuisine et l'éclairage au niveau domestique et pour la production d'eau chaude/d'électricité au niveau commercial, à des fins soit d'autoconsommation soit d'approvisionnement des réseaux dans le cas de l'électricité, constitue l'une des options envisageables parmi toute une panoplie de mesures que souhaite adopter le gouvernement afin d'inverser la tendance à </w:t>
      </w:r>
      <w:r>
        <w:rPr>
          <w:rFonts w:ascii="Times New Roman" w:hAnsi="Times New Roman"/>
        </w:rPr>
        <w:lastRenderedPageBreak/>
        <w:t xml:space="preserve">l'augmentation des émissions de GES liées au secteur énergétique domestique/commercial. En fait, la première communication nationale a </w:t>
      </w:r>
      <w:r w:rsidR="00543BBB">
        <w:rPr>
          <w:rFonts w:ascii="Times New Roman" w:hAnsi="Times New Roman"/>
        </w:rPr>
        <w:t>propos</w:t>
      </w:r>
      <w:r>
        <w:rPr>
          <w:rFonts w:ascii="Times New Roman" w:hAnsi="Times New Roman"/>
        </w:rPr>
        <w:t>é les trois principales mesures d'atténuation suivantes dans le but de réduire les émissions de GES dans le secteur énergétique : l'utilisation de panneaux solaires photovoltaïques pour l'éclairage, la promotion du biogaz en milieu rural et la promotion du GPL en milieu urbain.</w:t>
      </w:r>
    </w:p>
    <w:p w:rsidR="00EB5F44" w:rsidRPr="001F1343" w:rsidRDefault="00CA7034" w:rsidP="00EB5F44">
      <w:pPr>
        <w:autoSpaceDE w:val="0"/>
        <w:autoSpaceDN w:val="0"/>
        <w:adjustRightInd w:val="0"/>
        <w:spacing w:after="200"/>
        <w:ind w:left="-540" w:right="-608"/>
        <w:rPr>
          <w:rFonts w:ascii="Times New Roman" w:hAnsi="Times New Roman"/>
          <w:bCs/>
          <w:szCs w:val="22"/>
        </w:rPr>
      </w:pPr>
      <w:r>
        <w:rPr>
          <w:rFonts w:ascii="Times New Roman" w:hAnsi="Times New Roman"/>
        </w:rPr>
        <w:t xml:space="preserve">L'histoire du biogaz en Guinée remonte à 1977 lorsque des expérimentations ont été menées avec 3 petits digesteurs en acier de 0,2 m3 à Kindia et Macenta (2). En 1981/1982, 7 digesteurs supplémentaires de 10 m3 de conception chinoise (à dôme fixe) ont été installés, un à Conakry, un à Boké, un à Dalaba, un à Beyla, un à Kankan et deux à Forécariah. Par la suite, de 1983 à 1999, ont été installés 80 digesteurs à dôme fixe supplémentaires d'un volume allant de 6 m3 à 23 m3. Ils ont tous été installés </w:t>
      </w:r>
      <w:r w:rsidR="00543BBB">
        <w:rPr>
          <w:rFonts w:ascii="Times New Roman" w:hAnsi="Times New Roman"/>
        </w:rPr>
        <w:t>dans le cadre</w:t>
      </w:r>
      <w:r>
        <w:rPr>
          <w:rFonts w:ascii="Times New Roman" w:hAnsi="Times New Roman"/>
        </w:rPr>
        <w:t xml:space="preserve"> de programmes financés par le gouvernement guinéen et/ou des donateurs à des fins de production de biogaz pour la communauté, par exemple pour les écoles et centres de santé, bien souvent là où les matières premières </w:t>
      </w:r>
      <w:r w:rsidR="00543BBB">
        <w:rPr>
          <w:rFonts w:ascii="Times New Roman" w:hAnsi="Times New Roman"/>
        </w:rPr>
        <w:t>animales/agricoles nécessaires</w:t>
      </w:r>
      <w:r>
        <w:rPr>
          <w:rFonts w:ascii="Times New Roman" w:hAnsi="Times New Roman"/>
        </w:rPr>
        <w:t xml:space="preserve"> (en Guinée, l'utilisation de déchets humains à des fins de production de biogaz n'est pas acceptable d'un point de vue culturel) et/ou l'eau pour le mélange des matières premières n'étaient pas facilement accessibles. D'énormes efforts ont ainsi </w:t>
      </w:r>
      <w:r w:rsidR="00543BBB">
        <w:rPr>
          <w:rFonts w:ascii="Times New Roman" w:hAnsi="Times New Roman"/>
        </w:rPr>
        <w:t>dû être</w:t>
      </w:r>
      <w:r>
        <w:rPr>
          <w:rFonts w:ascii="Times New Roman" w:hAnsi="Times New Roman"/>
        </w:rPr>
        <w:t xml:space="preserve"> faits afin d'assurer leur fonctionnement tant que les fonds du gouvernement/des donateurs étaient disponibles. Au fur et à mesure de l'arrêt du programme d'aide, les digesteurs ont commencé à être négligés en raison d'un manque de fonds, et il en résulte qu'à présent, pas un digesteur à biogaz ne fonctionne dans le pays. Le principal enseignement tiré de cette expérimentation qui a duré plus de 20 ans est que tout programme de biogaz futur devra adopter un nouveau paradigme, et le gouvernement devra créer un environnement permettant au secteur privé (ménages, entreprises commerciales ou industrielles) de construire et d'exploiter leurs propres digesteurs à biogaz.</w:t>
      </w:r>
    </w:p>
    <w:p w:rsidR="00EB5F44" w:rsidRPr="001F1343" w:rsidRDefault="00CA7034" w:rsidP="00EB5F44">
      <w:pPr>
        <w:autoSpaceDE w:val="0"/>
        <w:autoSpaceDN w:val="0"/>
        <w:adjustRightInd w:val="0"/>
        <w:spacing w:after="200"/>
        <w:ind w:left="-540" w:right="-608"/>
        <w:rPr>
          <w:rFonts w:ascii="Times New Roman" w:hAnsi="Times New Roman"/>
          <w:bCs/>
          <w:szCs w:val="22"/>
        </w:rPr>
      </w:pPr>
      <w:r>
        <w:rPr>
          <w:rFonts w:ascii="Times New Roman" w:hAnsi="Times New Roman"/>
        </w:rPr>
        <w:t>Les digesteurs à biogaz peuvent transformer différentes matières premières (bouse de vache, résidus agricoles, déchets de cuisine, etc.) et être implantés dans des contextes variés :</w:t>
      </w:r>
    </w:p>
    <w:p w:rsidR="00EB5F44" w:rsidRPr="001F1343" w:rsidRDefault="00CA7034" w:rsidP="00EB5F44">
      <w:pPr>
        <w:autoSpaceDE w:val="0"/>
        <w:autoSpaceDN w:val="0"/>
        <w:adjustRightInd w:val="0"/>
        <w:spacing w:after="0"/>
        <w:ind w:left="-540" w:right="-608"/>
        <w:rPr>
          <w:rFonts w:ascii="Times New Roman" w:hAnsi="Times New Roman"/>
          <w:bCs/>
          <w:szCs w:val="22"/>
        </w:rPr>
      </w:pPr>
      <w:r>
        <w:rPr>
          <w:rFonts w:ascii="Times New Roman" w:hAnsi="Times New Roman"/>
        </w:rPr>
        <w:t>•</w:t>
      </w:r>
      <w:r>
        <w:rPr>
          <w:rFonts w:ascii="Times New Roman" w:hAnsi="Times New Roman"/>
        </w:rPr>
        <w:tab/>
        <w:t>Ménages ruraux possédant au moins cinq vaches, où le fumier peut être assez aisément collecté.</w:t>
      </w:r>
    </w:p>
    <w:p w:rsidR="00EB5F44" w:rsidRPr="001F1343" w:rsidRDefault="00CA7034" w:rsidP="00EB5F44">
      <w:pPr>
        <w:autoSpaceDE w:val="0"/>
        <w:autoSpaceDN w:val="0"/>
        <w:adjustRightInd w:val="0"/>
        <w:spacing w:after="0"/>
        <w:ind w:left="-540" w:right="-608"/>
        <w:rPr>
          <w:rFonts w:ascii="Times New Roman" w:hAnsi="Times New Roman"/>
          <w:bCs/>
          <w:szCs w:val="22"/>
        </w:rPr>
      </w:pPr>
      <w:r>
        <w:rPr>
          <w:rFonts w:ascii="Times New Roman" w:hAnsi="Times New Roman"/>
        </w:rPr>
        <w:t>•</w:t>
      </w:r>
      <w:r>
        <w:rPr>
          <w:rFonts w:ascii="Times New Roman" w:hAnsi="Times New Roman"/>
        </w:rPr>
        <w:tab/>
        <w:t xml:space="preserve">Ménages ruraux possédant </w:t>
      </w:r>
      <w:r w:rsidR="00543BBB">
        <w:rPr>
          <w:rFonts w:ascii="Times New Roman" w:hAnsi="Times New Roman"/>
        </w:rPr>
        <w:t>un</w:t>
      </w:r>
      <w:r>
        <w:rPr>
          <w:rFonts w:ascii="Times New Roman" w:hAnsi="Times New Roman"/>
        </w:rPr>
        <w:t xml:space="preserve"> bétail </w:t>
      </w:r>
      <w:r w:rsidR="00543BBB">
        <w:rPr>
          <w:rFonts w:ascii="Times New Roman" w:hAnsi="Times New Roman"/>
        </w:rPr>
        <w:t xml:space="preserve">varié </w:t>
      </w:r>
      <w:r>
        <w:rPr>
          <w:rFonts w:ascii="Times New Roman" w:hAnsi="Times New Roman"/>
        </w:rPr>
        <w:t>tel que porcs, poulets et chèvres.</w:t>
      </w:r>
    </w:p>
    <w:p w:rsidR="00EB5F44" w:rsidRPr="001F1343" w:rsidRDefault="00CA7034" w:rsidP="00EB5F44">
      <w:pPr>
        <w:autoSpaceDE w:val="0"/>
        <w:autoSpaceDN w:val="0"/>
        <w:adjustRightInd w:val="0"/>
        <w:spacing w:after="0"/>
        <w:ind w:left="-540" w:right="-608"/>
        <w:rPr>
          <w:rFonts w:ascii="Times New Roman" w:hAnsi="Times New Roman"/>
          <w:bCs/>
          <w:szCs w:val="22"/>
        </w:rPr>
      </w:pPr>
      <w:r>
        <w:rPr>
          <w:rFonts w:ascii="Times New Roman" w:hAnsi="Times New Roman"/>
        </w:rPr>
        <w:t>•</w:t>
      </w:r>
      <w:r>
        <w:rPr>
          <w:rFonts w:ascii="Times New Roman" w:hAnsi="Times New Roman"/>
        </w:rPr>
        <w:tab/>
        <w:t>Exploitations bovines dotées d'une grande concentration de bouses de vache accessibles.</w:t>
      </w:r>
    </w:p>
    <w:p w:rsidR="00EB5F44" w:rsidRPr="001F1343" w:rsidRDefault="00CA7034" w:rsidP="00EB5F44">
      <w:pPr>
        <w:autoSpaceDE w:val="0"/>
        <w:autoSpaceDN w:val="0"/>
        <w:adjustRightInd w:val="0"/>
        <w:spacing w:after="0"/>
        <w:ind w:left="-540" w:right="-608"/>
        <w:rPr>
          <w:rFonts w:ascii="Times New Roman" w:hAnsi="Times New Roman"/>
          <w:bCs/>
          <w:szCs w:val="22"/>
        </w:rPr>
      </w:pPr>
      <w:r>
        <w:rPr>
          <w:rFonts w:ascii="Times New Roman" w:hAnsi="Times New Roman"/>
        </w:rPr>
        <w:t>•</w:t>
      </w:r>
      <w:r>
        <w:rPr>
          <w:rFonts w:ascii="Times New Roman" w:hAnsi="Times New Roman"/>
        </w:rPr>
        <w:tab/>
        <w:t>Exploitations de moutons, chevaux, poulets et autres avec suffisamment de fumier accessible.</w:t>
      </w:r>
    </w:p>
    <w:p w:rsidR="00EB5F44" w:rsidRPr="001F1343" w:rsidRDefault="00CA7034" w:rsidP="00EB5F44">
      <w:pPr>
        <w:autoSpaceDE w:val="0"/>
        <w:autoSpaceDN w:val="0"/>
        <w:adjustRightInd w:val="0"/>
        <w:spacing w:after="200"/>
        <w:ind w:left="-540" w:right="-608"/>
        <w:rPr>
          <w:rFonts w:ascii="Times New Roman" w:hAnsi="Times New Roman"/>
          <w:bCs/>
          <w:szCs w:val="22"/>
        </w:rPr>
      </w:pPr>
      <w:r>
        <w:rPr>
          <w:rFonts w:ascii="Times New Roman" w:hAnsi="Times New Roman"/>
        </w:rPr>
        <w:t>•</w:t>
      </w:r>
      <w:r>
        <w:rPr>
          <w:rFonts w:ascii="Times New Roman" w:hAnsi="Times New Roman"/>
        </w:rPr>
        <w:tab/>
        <w:t>Institutions telles qu'écoles/hôpitaux ruraux doté</w:t>
      </w:r>
      <w:r w:rsidR="00543BBB">
        <w:rPr>
          <w:rFonts w:ascii="Times New Roman" w:hAnsi="Times New Roman"/>
        </w:rPr>
        <w:t>e</w:t>
      </w:r>
      <w:r>
        <w:rPr>
          <w:rFonts w:ascii="Times New Roman" w:hAnsi="Times New Roman"/>
        </w:rPr>
        <w:t>s d'un grand nombre d'utilisateurs d'installations sanitaires et agricoles, d'abattoirs, etc.</w:t>
      </w:r>
    </w:p>
    <w:p w:rsidR="00EB5F44" w:rsidRDefault="00CA7034" w:rsidP="00EB5F44">
      <w:pPr>
        <w:autoSpaceDE w:val="0"/>
        <w:autoSpaceDN w:val="0"/>
        <w:adjustRightInd w:val="0"/>
        <w:spacing w:after="200"/>
        <w:ind w:left="-540" w:right="-608"/>
        <w:rPr>
          <w:rFonts w:ascii="Times New Roman" w:hAnsi="Times New Roman"/>
        </w:rPr>
      </w:pPr>
      <w:r>
        <w:rPr>
          <w:rFonts w:ascii="Times New Roman" w:hAnsi="Times New Roman"/>
        </w:rPr>
        <w:t xml:space="preserve">Le Tableau 3 ci-dessous </w:t>
      </w:r>
      <w:r w:rsidR="00543BBB">
        <w:rPr>
          <w:rFonts w:ascii="Times New Roman" w:hAnsi="Times New Roman"/>
        </w:rPr>
        <w:t>présente</w:t>
      </w:r>
      <w:r>
        <w:rPr>
          <w:rFonts w:ascii="Times New Roman" w:hAnsi="Times New Roman"/>
        </w:rPr>
        <w:t xml:space="preserve"> des statistiques en matière de bétail au niveau national. Le dernier recensement du bétail a été effectué en 2005 et aucun n'a été réalisé depuis ; les statistiques des années suivantes sont des estimations.</w:t>
      </w:r>
    </w:p>
    <w:p w:rsidR="00772816" w:rsidRDefault="00772816" w:rsidP="00EB5F44">
      <w:pPr>
        <w:autoSpaceDE w:val="0"/>
        <w:autoSpaceDN w:val="0"/>
        <w:adjustRightInd w:val="0"/>
        <w:spacing w:after="200"/>
        <w:ind w:left="-540" w:right="-608"/>
        <w:rPr>
          <w:rFonts w:ascii="Times New Roman" w:hAnsi="Times New Roman"/>
        </w:rPr>
      </w:pPr>
    </w:p>
    <w:p w:rsidR="00772816" w:rsidRDefault="00772816" w:rsidP="00EB5F44">
      <w:pPr>
        <w:autoSpaceDE w:val="0"/>
        <w:autoSpaceDN w:val="0"/>
        <w:adjustRightInd w:val="0"/>
        <w:spacing w:after="200"/>
        <w:ind w:left="-540" w:right="-608"/>
        <w:rPr>
          <w:rFonts w:ascii="Times New Roman" w:hAnsi="Times New Roman"/>
        </w:rPr>
      </w:pPr>
    </w:p>
    <w:p w:rsidR="00772816" w:rsidRDefault="00772816" w:rsidP="00EB5F44">
      <w:pPr>
        <w:autoSpaceDE w:val="0"/>
        <w:autoSpaceDN w:val="0"/>
        <w:adjustRightInd w:val="0"/>
        <w:spacing w:after="200"/>
        <w:ind w:left="-540" w:right="-608"/>
        <w:rPr>
          <w:rFonts w:ascii="Times New Roman" w:hAnsi="Times New Roman"/>
        </w:rPr>
      </w:pPr>
    </w:p>
    <w:p w:rsidR="00772816" w:rsidRDefault="00772816" w:rsidP="00EB5F44">
      <w:pPr>
        <w:autoSpaceDE w:val="0"/>
        <w:autoSpaceDN w:val="0"/>
        <w:adjustRightInd w:val="0"/>
        <w:spacing w:after="200"/>
        <w:ind w:left="-540" w:right="-608"/>
        <w:rPr>
          <w:rFonts w:ascii="Times New Roman" w:hAnsi="Times New Roman"/>
        </w:rPr>
      </w:pPr>
    </w:p>
    <w:p w:rsidR="00772816" w:rsidRDefault="00772816" w:rsidP="00EB5F44">
      <w:pPr>
        <w:autoSpaceDE w:val="0"/>
        <w:autoSpaceDN w:val="0"/>
        <w:adjustRightInd w:val="0"/>
        <w:spacing w:after="200"/>
        <w:ind w:left="-540" w:right="-608"/>
        <w:rPr>
          <w:rFonts w:ascii="Times New Roman" w:hAnsi="Times New Roman"/>
        </w:rPr>
      </w:pPr>
    </w:p>
    <w:p w:rsidR="00772816" w:rsidRDefault="00772816" w:rsidP="00EB5F44">
      <w:pPr>
        <w:autoSpaceDE w:val="0"/>
        <w:autoSpaceDN w:val="0"/>
        <w:adjustRightInd w:val="0"/>
        <w:spacing w:after="200"/>
        <w:ind w:left="-540" w:right="-608"/>
        <w:rPr>
          <w:rFonts w:ascii="Times New Roman" w:hAnsi="Times New Roman"/>
        </w:rPr>
      </w:pPr>
    </w:p>
    <w:p w:rsidR="00772816" w:rsidRPr="001F1343" w:rsidRDefault="00772816" w:rsidP="00EB5F44">
      <w:pPr>
        <w:autoSpaceDE w:val="0"/>
        <w:autoSpaceDN w:val="0"/>
        <w:adjustRightInd w:val="0"/>
        <w:spacing w:after="200"/>
        <w:ind w:left="-540" w:right="-608"/>
        <w:rPr>
          <w:rFonts w:ascii="Times New Roman" w:hAnsi="Times New Roman"/>
          <w:bCs/>
          <w:szCs w:val="22"/>
        </w:rPr>
      </w:pPr>
    </w:p>
    <w:p w:rsidR="003A684B" w:rsidRPr="001F1343" w:rsidRDefault="00CA7034" w:rsidP="00511EFD">
      <w:pPr>
        <w:autoSpaceDE w:val="0"/>
        <w:autoSpaceDN w:val="0"/>
        <w:adjustRightInd w:val="0"/>
        <w:spacing w:after="200"/>
        <w:ind w:left="360"/>
        <w:jc w:val="center"/>
        <w:rPr>
          <w:rFonts w:ascii="Times New Roman" w:hAnsi="Times New Roman"/>
          <w:bCs/>
          <w:szCs w:val="22"/>
        </w:rPr>
      </w:pPr>
      <w:r>
        <w:rPr>
          <w:rFonts w:ascii="Times New Roman" w:hAnsi="Times New Roman"/>
          <w:b/>
        </w:rPr>
        <w:t>Tableau 3 : Statistiques relatives au bétail</w:t>
      </w:r>
    </w:p>
    <w:tbl>
      <w:tblPr>
        <w:tblW w:w="9919" w:type="dxa"/>
        <w:tblInd w:w="-270" w:type="dxa"/>
        <w:tblLayout w:type="fixed"/>
        <w:tblCellMar>
          <w:left w:w="70" w:type="dxa"/>
          <w:right w:w="70" w:type="dxa"/>
        </w:tblCellMar>
        <w:tblLook w:val="04A0" w:firstRow="1" w:lastRow="0" w:firstColumn="1" w:lastColumn="0" w:noHBand="0" w:noVBand="1"/>
      </w:tblPr>
      <w:tblGrid>
        <w:gridCol w:w="1482"/>
        <w:gridCol w:w="917"/>
        <w:gridCol w:w="917"/>
        <w:gridCol w:w="917"/>
        <w:gridCol w:w="917"/>
        <w:gridCol w:w="917"/>
        <w:gridCol w:w="1050"/>
        <w:gridCol w:w="917"/>
        <w:gridCol w:w="917"/>
        <w:gridCol w:w="968"/>
      </w:tblGrid>
      <w:tr w:rsidR="00EB5F44" w:rsidRPr="001F1343" w:rsidTr="00B77F2D">
        <w:trPr>
          <w:cantSplit/>
          <w:trHeight w:val="345"/>
        </w:trPr>
        <w:tc>
          <w:tcPr>
            <w:tcW w:w="1482" w:type="dxa"/>
            <w:tcBorders>
              <w:top w:val="nil"/>
              <w:left w:val="nil"/>
              <w:bottom w:val="double" w:sz="6" w:space="0" w:color="auto"/>
              <w:right w:val="double" w:sz="6" w:space="0" w:color="auto"/>
            </w:tcBorders>
            <w:noWrap/>
            <w:vAlign w:val="bottom"/>
            <w:hideMark/>
          </w:tcPr>
          <w:p w:rsidR="00EB5F44" w:rsidRPr="001F1343" w:rsidRDefault="00CA7034" w:rsidP="00EB5F44">
            <w:pPr>
              <w:spacing w:after="0"/>
              <w:jc w:val="left"/>
              <w:rPr>
                <w:rFonts w:ascii="Times New Roman" w:hAnsi="Times New Roman"/>
                <w:color w:val="000000"/>
                <w:szCs w:val="22"/>
              </w:rPr>
            </w:pPr>
            <w:r>
              <w:rPr>
                <w:rFonts w:ascii="Times New Roman" w:hAnsi="Times New Roman"/>
                <w:color w:val="000000"/>
              </w:rPr>
              <w:t> </w:t>
            </w:r>
          </w:p>
        </w:tc>
        <w:tc>
          <w:tcPr>
            <w:tcW w:w="917" w:type="dxa"/>
            <w:tcBorders>
              <w:top w:val="double" w:sz="6" w:space="0" w:color="auto"/>
              <w:left w:val="nil"/>
              <w:bottom w:val="single" w:sz="8" w:space="0" w:color="auto"/>
              <w:right w:val="single" w:sz="8"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2005(r)</w:t>
            </w:r>
          </w:p>
        </w:tc>
        <w:tc>
          <w:tcPr>
            <w:tcW w:w="917" w:type="dxa"/>
            <w:tcBorders>
              <w:top w:val="double" w:sz="6" w:space="0" w:color="auto"/>
              <w:left w:val="nil"/>
              <w:bottom w:val="single" w:sz="8" w:space="0" w:color="auto"/>
              <w:right w:val="single" w:sz="8"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2006(e)</w:t>
            </w:r>
          </w:p>
        </w:tc>
        <w:tc>
          <w:tcPr>
            <w:tcW w:w="917" w:type="dxa"/>
            <w:tcBorders>
              <w:top w:val="double" w:sz="6" w:space="0" w:color="auto"/>
              <w:left w:val="nil"/>
              <w:bottom w:val="single" w:sz="8" w:space="0" w:color="auto"/>
              <w:right w:val="single" w:sz="8"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2007(e)</w:t>
            </w:r>
          </w:p>
        </w:tc>
        <w:tc>
          <w:tcPr>
            <w:tcW w:w="917" w:type="dxa"/>
            <w:tcBorders>
              <w:top w:val="double" w:sz="6" w:space="0" w:color="auto"/>
              <w:left w:val="nil"/>
              <w:bottom w:val="single" w:sz="8" w:space="0" w:color="auto"/>
              <w:right w:val="single" w:sz="8"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2008(e)</w:t>
            </w:r>
          </w:p>
        </w:tc>
        <w:tc>
          <w:tcPr>
            <w:tcW w:w="917" w:type="dxa"/>
            <w:tcBorders>
              <w:top w:val="double" w:sz="6" w:space="0" w:color="auto"/>
              <w:left w:val="nil"/>
              <w:bottom w:val="single" w:sz="8" w:space="0" w:color="auto"/>
              <w:right w:val="double" w:sz="6"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2009(e)</w:t>
            </w:r>
          </w:p>
        </w:tc>
        <w:tc>
          <w:tcPr>
            <w:tcW w:w="1050" w:type="dxa"/>
            <w:tcBorders>
              <w:top w:val="double" w:sz="6" w:space="0" w:color="auto"/>
              <w:left w:val="nil"/>
              <w:bottom w:val="single" w:sz="8" w:space="0" w:color="auto"/>
              <w:right w:val="single" w:sz="8"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2010(e)</w:t>
            </w:r>
          </w:p>
        </w:tc>
        <w:tc>
          <w:tcPr>
            <w:tcW w:w="917" w:type="dxa"/>
            <w:tcBorders>
              <w:top w:val="double" w:sz="6" w:space="0" w:color="auto"/>
              <w:left w:val="nil"/>
              <w:bottom w:val="single" w:sz="8" w:space="0" w:color="auto"/>
              <w:right w:val="double" w:sz="6"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2011(e)</w:t>
            </w:r>
          </w:p>
        </w:tc>
        <w:tc>
          <w:tcPr>
            <w:tcW w:w="917" w:type="dxa"/>
            <w:tcBorders>
              <w:top w:val="double" w:sz="6" w:space="0" w:color="auto"/>
              <w:left w:val="nil"/>
              <w:bottom w:val="single" w:sz="8" w:space="0" w:color="auto"/>
              <w:right w:val="single" w:sz="8"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2012(e)</w:t>
            </w:r>
          </w:p>
        </w:tc>
        <w:tc>
          <w:tcPr>
            <w:tcW w:w="968" w:type="dxa"/>
            <w:tcBorders>
              <w:top w:val="double" w:sz="6" w:space="0" w:color="auto"/>
              <w:left w:val="nil"/>
              <w:bottom w:val="single" w:sz="8" w:space="0" w:color="auto"/>
              <w:right w:val="double" w:sz="6" w:space="0" w:color="auto"/>
            </w:tcBorders>
            <w:shd w:val="clear" w:color="000000" w:fill="auto"/>
            <w:noWrap/>
            <w:vAlign w:val="bottom"/>
            <w:hideMark/>
          </w:tcPr>
          <w:p w:rsidR="00EB5F44" w:rsidRPr="001F1343" w:rsidRDefault="00CA7034" w:rsidP="00EB5F44">
            <w:pPr>
              <w:spacing w:after="0"/>
              <w:jc w:val="center"/>
              <w:rPr>
                <w:rFonts w:ascii="Times New Roman" w:hAnsi="Times New Roman"/>
                <w:b/>
                <w:bCs/>
                <w:color w:val="000000"/>
                <w:szCs w:val="22"/>
              </w:rPr>
            </w:pPr>
            <w:r>
              <w:rPr>
                <w:rFonts w:ascii="Times New Roman" w:hAnsi="Times New Roman"/>
                <w:b/>
                <w:color w:val="000000"/>
              </w:rPr>
              <w:t>2013(e)</w:t>
            </w:r>
          </w:p>
        </w:tc>
      </w:tr>
      <w:tr w:rsidR="00EB5F44" w:rsidRPr="001F1343" w:rsidTr="00B77F2D">
        <w:trPr>
          <w:cantSplit/>
          <w:trHeight w:val="330"/>
        </w:trPr>
        <w:tc>
          <w:tcPr>
            <w:tcW w:w="1482" w:type="dxa"/>
            <w:tcBorders>
              <w:top w:val="nil"/>
              <w:left w:val="double" w:sz="6" w:space="0" w:color="auto"/>
              <w:bottom w:val="single" w:sz="8" w:space="0" w:color="auto"/>
              <w:right w:val="single" w:sz="8" w:space="0" w:color="auto"/>
            </w:tcBorders>
            <w:noWrap/>
            <w:vAlign w:val="center"/>
            <w:hideMark/>
          </w:tcPr>
          <w:p w:rsidR="00EB5F44" w:rsidRPr="001F1343" w:rsidRDefault="00CA7034" w:rsidP="00EB5F44">
            <w:pPr>
              <w:spacing w:after="0"/>
              <w:jc w:val="left"/>
              <w:rPr>
                <w:rFonts w:ascii="Times New Roman" w:hAnsi="Times New Roman"/>
                <w:color w:val="000000"/>
                <w:szCs w:val="22"/>
              </w:rPr>
            </w:pPr>
            <w:r>
              <w:rPr>
                <w:rFonts w:ascii="Times New Roman" w:hAnsi="Times New Roman"/>
                <w:color w:val="000000"/>
              </w:rPr>
              <w:t>Bétail</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3 787 974</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4 003 876</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4 232 589</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4 474 909</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4 731 680</w:t>
            </w:r>
          </w:p>
        </w:tc>
        <w:tc>
          <w:tcPr>
            <w:tcW w:w="1050"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4 981 513</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5 244 537</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5 521 448</w:t>
            </w:r>
          </w:p>
        </w:tc>
        <w:tc>
          <w:tcPr>
            <w:tcW w:w="968"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5 812 981</w:t>
            </w:r>
          </w:p>
        </w:tc>
      </w:tr>
      <w:tr w:rsidR="00EB5F44" w:rsidRPr="001F1343" w:rsidTr="00B77F2D">
        <w:trPr>
          <w:cantSplit/>
          <w:trHeight w:val="330"/>
        </w:trPr>
        <w:tc>
          <w:tcPr>
            <w:tcW w:w="1482" w:type="dxa"/>
            <w:tcBorders>
              <w:top w:val="nil"/>
              <w:left w:val="double" w:sz="6" w:space="0" w:color="auto"/>
              <w:bottom w:val="single" w:sz="8" w:space="0" w:color="auto"/>
              <w:right w:val="single" w:sz="8" w:space="0" w:color="auto"/>
            </w:tcBorders>
            <w:noWrap/>
            <w:vAlign w:val="center"/>
            <w:hideMark/>
          </w:tcPr>
          <w:p w:rsidR="00EB5F44" w:rsidRPr="001F1343" w:rsidRDefault="00CA7034" w:rsidP="00EB5F44">
            <w:pPr>
              <w:spacing w:after="0"/>
              <w:jc w:val="left"/>
              <w:rPr>
                <w:rFonts w:ascii="Times New Roman" w:hAnsi="Times New Roman"/>
                <w:color w:val="000000"/>
                <w:szCs w:val="22"/>
              </w:rPr>
            </w:pPr>
            <w:r>
              <w:rPr>
                <w:rFonts w:ascii="Times New Roman" w:hAnsi="Times New Roman"/>
                <w:color w:val="000000"/>
              </w:rPr>
              <w:lastRenderedPageBreak/>
              <w:t>Moutons</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1 058 381</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1 109 744</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1 164 978</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1 224 388</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1 288 301</w:t>
            </w:r>
          </w:p>
        </w:tc>
        <w:tc>
          <w:tcPr>
            <w:tcW w:w="1050"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1 343 440</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1 400 940</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1 460 900</w:t>
            </w:r>
          </w:p>
        </w:tc>
        <w:tc>
          <w:tcPr>
            <w:tcW w:w="968"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1 523 426</w:t>
            </w:r>
          </w:p>
        </w:tc>
      </w:tr>
      <w:tr w:rsidR="00EB5F44" w:rsidRPr="001F1343" w:rsidTr="00B77F2D">
        <w:trPr>
          <w:cantSplit/>
          <w:trHeight w:val="330"/>
        </w:trPr>
        <w:tc>
          <w:tcPr>
            <w:tcW w:w="1482" w:type="dxa"/>
            <w:tcBorders>
              <w:top w:val="nil"/>
              <w:left w:val="double" w:sz="6" w:space="0" w:color="auto"/>
              <w:bottom w:val="single" w:sz="8" w:space="0" w:color="auto"/>
              <w:right w:val="single" w:sz="8" w:space="0" w:color="auto"/>
            </w:tcBorders>
            <w:noWrap/>
            <w:vAlign w:val="center"/>
            <w:hideMark/>
          </w:tcPr>
          <w:p w:rsidR="00EB5F44" w:rsidRPr="001F1343" w:rsidRDefault="00CA7034" w:rsidP="00EB5F44">
            <w:pPr>
              <w:spacing w:after="0"/>
              <w:jc w:val="left"/>
              <w:rPr>
                <w:rFonts w:ascii="Times New Roman" w:hAnsi="Times New Roman"/>
                <w:color w:val="000000"/>
                <w:szCs w:val="22"/>
              </w:rPr>
            </w:pPr>
            <w:r>
              <w:rPr>
                <w:rFonts w:ascii="Times New Roman" w:hAnsi="Times New Roman"/>
                <w:color w:val="000000"/>
              </w:rPr>
              <w:t>Chèvres</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1 399 666</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1 496 194</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1 599 714</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1 710 752</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1 829 877</w:t>
            </w:r>
          </w:p>
        </w:tc>
        <w:tc>
          <w:tcPr>
            <w:tcW w:w="1050"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1 949 185</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2 076 272</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2 211 645</w:t>
            </w:r>
          </w:p>
        </w:tc>
        <w:tc>
          <w:tcPr>
            <w:tcW w:w="968"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2 355 844</w:t>
            </w:r>
          </w:p>
        </w:tc>
      </w:tr>
      <w:tr w:rsidR="00EB5F44" w:rsidRPr="001F1343" w:rsidTr="00B77F2D">
        <w:trPr>
          <w:cantSplit/>
          <w:trHeight w:val="330"/>
        </w:trPr>
        <w:tc>
          <w:tcPr>
            <w:tcW w:w="1482" w:type="dxa"/>
            <w:tcBorders>
              <w:top w:val="nil"/>
              <w:left w:val="double" w:sz="6" w:space="0" w:color="auto"/>
              <w:bottom w:val="single" w:sz="8" w:space="0" w:color="auto"/>
              <w:right w:val="single" w:sz="8" w:space="0" w:color="auto"/>
            </w:tcBorders>
            <w:noWrap/>
            <w:vAlign w:val="center"/>
            <w:hideMark/>
          </w:tcPr>
          <w:p w:rsidR="00EB5F44" w:rsidRPr="001F1343" w:rsidRDefault="00CA7034" w:rsidP="00EB5F44">
            <w:pPr>
              <w:spacing w:after="0"/>
              <w:jc w:val="left"/>
              <w:rPr>
                <w:rFonts w:ascii="Times New Roman" w:hAnsi="Times New Roman"/>
                <w:color w:val="000000"/>
                <w:szCs w:val="22"/>
              </w:rPr>
            </w:pPr>
            <w:r>
              <w:rPr>
                <w:rFonts w:ascii="Times New Roman" w:hAnsi="Times New Roman"/>
                <w:color w:val="000000"/>
              </w:rPr>
              <w:t>Porcs</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77 323</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82 487</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87 996</w:t>
            </w:r>
          </w:p>
        </w:tc>
        <w:tc>
          <w:tcPr>
            <w:tcW w:w="917" w:type="dxa"/>
            <w:tcBorders>
              <w:top w:val="nil"/>
              <w:left w:val="nil"/>
              <w:bottom w:val="single" w:sz="8" w:space="0" w:color="auto"/>
              <w:right w:val="single" w:sz="8"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93 872</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100 141</w:t>
            </w:r>
          </w:p>
        </w:tc>
        <w:tc>
          <w:tcPr>
            <w:tcW w:w="1050"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106 510</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113 284</w:t>
            </w:r>
          </w:p>
        </w:tc>
        <w:tc>
          <w:tcPr>
            <w:tcW w:w="917"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120 489</w:t>
            </w:r>
          </w:p>
        </w:tc>
        <w:tc>
          <w:tcPr>
            <w:tcW w:w="968" w:type="dxa"/>
            <w:tcBorders>
              <w:top w:val="nil"/>
              <w:left w:val="nil"/>
              <w:bottom w:val="single" w:sz="8" w:space="0" w:color="auto"/>
              <w:right w:val="double" w:sz="6" w:space="0" w:color="auto"/>
            </w:tcBorders>
            <w:noWrap/>
            <w:vAlign w:val="bottom"/>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128 152</w:t>
            </w:r>
          </w:p>
        </w:tc>
      </w:tr>
      <w:tr w:rsidR="00EB5F44" w:rsidRPr="001F1343" w:rsidTr="00B77F2D">
        <w:trPr>
          <w:cantSplit/>
          <w:trHeight w:val="330"/>
        </w:trPr>
        <w:tc>
          <w:tcPr>
            <w:tcW w:w="1482" w:type="dxa"/>
            <w:tcBorders>
              <w:top w:val="nil"/>
              <w:left w:val="double" w:sz="6" w:space="0" w:color="auto"/>
              <w:bottom w:val="single" w:sz="8" w:space="0" w:color="auto"/>
              <w:right w:val="single" w:sz="8" w:space="0" w:color="auto"/>
            </w:tcBorders>
            <w:noWrap/>
            <w:vAlign w:val="center"/>
            <w:hideMark/>
          </w:tcPr>
          <w:p w:rsidR="00EB5F44" w:rsidRPr="001F1343" w:rsidRDefault="00CA7034" w:rsidP="00AA6DCA">
            <w:pPr>
              <w:spacing w:after="0"/>
              <w:jc w:val="left"/>
              <w:rPr>
                <w:rFonts w:ascii="Times New Roman" w:hAnsi="Times New Roman"/>
                <w:color w:val="000000"/>
                <w:szCs w:val="22"/>
              </w:rPr>
            </w:pPr>
            <w:r>
              <w:rPr>
                <w:rFonts w:ascii="Times New Roman" w:hAnsi="Times New Roman"/>
                <w:color w:val="000000"/>
              </w:rPr>
              <w:t>N</w:t>
            </w:r>
            <w:r w:rsidR="00AA6DCA">
              <w:rPr>
                <w:rFonts w:ascii="Times New Roman" w:hAnsi="Times New Roman"/>
                <w:color w:val="000000"/>
              </w:rPr>
              <w:t>bre</w:t>
            </w:r>
            <w:r>
              <w:rPr>
                <w:rFonts w:ascii="Times New Roman" w:hAnsi="Times New Roman"/>
                <w:color w:val="000000"/>
              </w:rPr>
              <w:t xml:space="preserve"> d'éleveurs</w:t>
            </w:r>
          </w:p>
        </w:tc>
        <w:tc>
          <w:tcPr>
            <w:tcW w:w="917" w:type="dxa"/>
            <w:tcBorders>
              <w:top w:val="nil"/>
              <w:left w:val="nil"/>
              <w:bottom w:val="single" w:sz="8"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380 097</w:t>
            </w:r>
          </w:p>
        </w:tc>
        <w:tc>
          <w:tcPr>
            <w:tcW w:w="917" w:type="dxa"/>
            <w:tcBorders>
              <w:top w:val="nil"/>
              <w:left w:val="nil"/>
              <w:bottom w:val="single" w:sz="8"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404 034</w:t>
            </w:r>
          </w:p>
        </w:tc>
        <w:tc>
          <w:tcPr>
            <w:tcW w:w="917" w:type="dxa"/>
            <w:tcBorders>
              <w:top w:val="nil"/>
              <w:left w:val="nil"/>
              <w:bottom w:val="single" w:sz="8"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429 761</w:t>
            </w:r>
          </w:p>
        </w:tc>
        <w:tc>
          <w:tcPr>
            <w:tcW w:w="917" w:type="dxa"/>
            <w:tcBorders>
              <w:top w:val="nil"/>
              <w:left w:val="nil"/>
              <w:bottom w:val="single" w:sz="8"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457 415</w:t>
            </w:r>
          </w:p>
        </w:tc>
        <w:tc>
          <w:tcPr>
            <w:tcW w:w="917"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487 143</w:t>
            </w:r>
          </w:p>
        </w:tc>
        <w:tc>
          <w:tcPr>
            <w:tcW w:w="1050"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515 349</w:t>
            </w:r>
          </w:p>
        </w:tc>
        <w:tc>
          <w:tcPr>
            <w:tcW w:w="917"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545 187</w:t>
            </w:r>
          </w:p>
        </w:tc>
        <w:tc>
          <w:tcPr>
            <w:tcW w:w="917"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576 754</w:t>
            </w:r>
          </w:p>
        </w:tc>
        <w:tc>
          <w:tcPr>
            <w:tcW w:w="968"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610 148</w:t>
            </w:r>
          </w:p>
        </w:tc>
      </w:tr>
      <w:tr w:rsidR="00EB5F44" w:rsidRPr="001F1343" w:rsidTr="00B77F2D">
        <w:trPr>
          <w:cantSplit/>
          <w:trHeight w:val="330"/>
        </w:trPr>
        <w:tc>
          <w:tcPr>
            <w:tcW w:w="1482" w:type="dxa"/>
            <w:tcBorders>
              <w:top w:val="nil"/>
              <w:left w:val="double" w:sz="6" w:space="0" w:color="auto"/>
              <w:bottom w:val="double" w:sz="6" w:space="0" w:color="auto"/>
              <w:right w:val="single" w:sz="8" w:space="0" w:color="auto"/>
            </w:tcBorders>
            <w:noWrap/>
            <w:vAlign w:val="center"/>
            <w:hideMark/>
          </w:tcPr>
          <w:p w:rsidR="00EB5F44" w:rsidRPr="001F1343" w:rsidRDefault="00CA7034" w:rsidP="00AA6DCA">
            <w:pPr>
              <w:spacing w:after="0"/>
              <w:jc w:val="left"/>
              <w:rPr>
                <w:rFonts w:ascii="Times New Roman" w:hAnsi="Times New Roman"/>
                <w:color w:val="000000"/>
                <w:szCs w:val="22"/>
              </w:rPr>
            </w:pPr>
            <w:r>
              <w:rPr>
                <w:rFonts w:ascii="Times New Roman" w:hAnsi="Times New Roman"/>
                <w:color w:val="000000"/>
              </w:rPr>
              <w:t>N</w:t>
            </w:r>
            <w:r w:rsidR="00AA6DCA">
              <w:rPr>
                <w:rFonts w:ascii="Times New Roman" w:hAnsi="Times New Roman"/>
                <w:color w:val="000000"/>
              </w:rPr>
              <w:t>bre</w:t>
            </w:r>
            <w:r>
              <w:rPr>
                <w:rFonts w:ascii="Times New Roman" w:hAnsi="Times New Roman"/>
                <w:color w:val="000000"/>
              </w:rPr>
              <w:t xml:space="preserve"> d'exploitations avicoles</w:t>
            </w:r>
          </w:p>
        </w:tc>
        <w:tc>
          <w:tcPr>
            <w:tcW w:w="917" w:type="dxa"/>
            <w:tcBorders>
              <w:top w:val="nil"/>
              <w:left w:val="nil"/>
              <w:bottom w:val="double" w:sz="6"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w:t>
            </w:r>
          </w:p>
        </w:tc>
        <w:tc>
          <w:tcPr>
            <w:tcW w:w="917" w:type="dxa"/>
            <w:tcBorders>
              <w:top w:val="nil"/>
              <w:left w:val="nil"/>
              <w:bottom w:val="double" w:sz="6"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w:t>
            </w:r>
          </w:p>
        </w:tc>
        <w:tc>
          <w:tcPr>
            <w:tcW w:w="917" w:type="dxa"/>
            <w:tcBorders>
              <w:top w:val="nil"/>
              <w:left w:val="nil"/>
              <w:bottom w:val="double" w:sz="6"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w:t>
            </w:r>
          </w:p>
        </w:tc>
        <w:tc>
          <w:tcPr>
            <w:tcW w:w="917" w:type="dxa"/>
            <w:tcBorders>
              <w:top w:val="nil"/>
              <w:left w:val="nil"/>
              <w:bottom w:val="double" w:sz="6" w:space="0" w:color="auto"/>
              <w:right w:val="single" w:sz="8"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236</w:t>
            </w:r>
          </w:p>
        </w:tc>
        <w:tc>
          <w:tcPr>
            <w:tcW w:w="917"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263</w:t>
            </w:r>
          </w:p>
        </w:tc>
        <w:tc>
          <w:tcPr>
            <w:tcW w:w="1050"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293</w:t>
            </w:r>
          </w:p>
        </w:tc>
        <w:tc>
          <w:tcPr>
            <w:tcW w:w="917"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327</w:t>
            </w:r>
          </w:p>
        </w:tc>
        <w:tc>
          <w:tcPr>
            <w:tcW w:w="917"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364</w:t>
            </w:r>
          </w:p>
        </w:tc>
        <w:tc>
          <w:tcPr>
            <w:tcW w:w="968" w:type="dxa"/>
            <w:tcBorders>
              <w:top w:val="nil"/>
              <w:left w:val="nil"/>
              <w:bottom w:val="single" w:sz="8" w:space="0" w:color="auto"/>
              <w:right w:val="double" w:sz="6" w:space="0" w:color="auto"/>
            </w:tcBorders>
            <w:noWrap/>
            <w:vAlign w:val="center"/>
            <w:hideMark/>
          </w:tcPr>
          <w:p w:rsidR="00EB5F44" w:rsidRPr="001F1343" w:rsidRDefault="00CA7034" w:rsidP="00EB5F44">
            <w:pPr>
              <w:spacing w:after="0"/>
              <w:jc w:val="right"/>
              <w:rPr>
                <w:rFonts w:ascii="Times New Roman" w:hAnsi="Times New Roman"/>
                <w:color w:val="000000"/>
                <w:szCs w:val="22"/>
              </w:rPr>
            </w:pPr>
            <w:r>
              <w:rPr>
                <w:rFonts w:ascii="Times New Roman" w:hAnsi="Times New Roman"/>
                <w:color w:val="000000"/>
              </w:rPr>
              <w:t>406</w:t>
            </w:r>
          </w:p>
        </w:tc>
      </w:tr>
    </w:tbl>
    <w:p w:rsidR="003A684B" w:rsidRPr="001F1343" w:rsidRDefault="000E6CB0" w:rsidP="00EB5F44">
      <w:pPr>
        <w:tabs>
          <w:tab w:val="num" w:pos="90"/>
        </w:tabs>
        <w:autoSpaceDE w:val="0"/>
        <w:autoSpaceDN w:val="0"/>
        <w:adjustRightInd w:val="0"/>
        <w:spacing w:after="200"/>
        <w:ind w:left="-360" w:right="-360"/>
        <w:jc w:val="left"/>
        <w:rPr>
          <w:rFonts w:ascii="Times New Roman" w:hAnsi="Times New Roman"/>
          <w:bCs/>
          <w:sz w:val="18"/>
          <w:szCs w:val="18"/>
        </w:rPr>
      </w:pPr>
      <w:r>
        <w:rPr>
          <w:rFonts w:ascii="Times New Roman" w:hAnsi="Times New Roman"/>
        </w:rPr>
        <w:t xml:space="preserve"> </w:t>
      </w:r>
      <w:r w:rsidR="00CA7034">
        <w:rPr>
          <w:rFonts w:ascii="Times New Roman" w:hAnsi="Times New Roman"/>
          <w:sz w:val="18"/>
        </w:rPr>
        <w:t>Source : Ministère de l’Élevage/DNPRC/Division Statistiques</w:t>
      </w:r>
      <w:r>
        <w:rPr>
          <w:rFonts w:ascii="Times New Roman" w:hAnsi="Times New Roman"/>
          <w:sz w:val="18"/>
        </w:rPr>
        <w:t xml:space="preserve">   </w:t>
      </w:r>
      <w:r w:rsidR="00CA7034">
        <w:rPr>
          <w:rFonts w:ascii="Times New Roman" w:hAnsi="Times New Roman"/>
          <w:sz w:val="18"/>
        </w:rPr>
        <w:t>(r) : recensement</w:t>
      </w:r>
      <w:r>
        <w:rPr>
          <w:rFonts w:ascii="Times New Roman" w:hAnsi="Times New Roman"/>
          <w:sz w:val="18"/>
        </w:rPr>
        <w:t xml:space="preserve"> </w:t>
      </w:r>
      <w:r w:rsidR="00CA7034">
        <w:rPr>
          <w:rFonts w:ascii="Times New Roman" w:hAnsi="Times New Roman"/>
          <w:sz w:val="18"/>
        </w:rPr>
        <w:t xml:space="preserve"> (e) : estimations</w:t>
      </w:r>
    </w:p>
    <w:p w:rsidR="00723B7C" w:rsidRPr="001F1343" w:rsidRDefault="00AA6DCA" w:rsidP="00511EFD">
      <w:pPr>
        <w:tabs>
          <w:tab w:val="num" w:pos="90"/>
        </w:tabs>
        <w:autoSpaceDE w:val="0"/>
        <w:autoSpaceDN w:val="0"/>
        <w:adjustRightInd w:val="0"/>
        <w:spacing w:after="200"/>
        <w:ind w:left="-360" w:right="-608"/>
        <w:rPr>
          <w:rFonts w:ascii="Times New Roman" w:hAnsi="Times New Roman"/>
          <w:bCs/>
          <w:szCs w:val="22"/>
        </w:rPr>
      </w:pPr>
      <w:r>
        <w:rPr>
          <w:rFonts w:ascii="Times New Roman" w:hAnsi="Times New Roman"/>
        </w:rPr>
        <w:t>Pour l</w:t>
      </w:r>
      <w:r w:rsidR="00CA7034">
        <w:rPr>
          <w:rFonts w:ascii="Times New Roman" w:hAnsi="Times New Roman"/>
        </w:rPr>
        <w:t xml:space="preserve">es applications domestiques, l'accent sera mis sur les foyers possédant au moins cinq têtes de bovins (ou un nombre équivalent d'autres ruminants), le fumier produit quotidiennement dans un digesteur à biogaz de 6 m3 étant suffisant pour satisfaire tous les besoins du ménage en cuisine/éclairage sans ajouter de ressources biodégradables supplémentaires dans le digesteur. </w:t>
      </w:r>
      <w:r>
        <w:rPr>
          <w:rFonts w:ascii="Times New Roman" w:hAnsi="Times New Roman"/>
        </w:rPr>
        <w:t xml:space="preserve">Cette pratique repose </w:t>
      </w:r>
      <w:r w:rsidR="00CA7034">
        <w:rPr>
          <w:rFonts w:ascii="Times New Roman" w:hAnsi="Times New Roman"/>
        </w:rPr>
        <w:t>sur le système très répandu de gestion du bétail en vertu duquel le bétail est nourri dans une grande mesure dans les zones communales en journée et est regroupé dans l'enclos (corral) le soir. Un digesteur à biogaz de 6 m3 exige environ 36 kg de fumier provenant de 4-5 vaches et une quantité équivalente d'eau par jour (à savoir que 36 kg de H2O équivalent à 36 litres) et le gaz produit est suffisant pour faire marcher un poêle et 2 lampes à gaz pendant 3-4 heures par jour. Il convient de noter que la taille des installations de biogaz est déterminée par la disponibilité du fumier et non pas par la taille de la famille.</w:t>
      </w:r>
    </w:p>
    <w:p w:rsidR="00723B7C" w:rsidRPr="001F1343" w:rsidRDefault="00CA7034" w:rsidP="00511EFD">
      <w:pPr>
        <w:tabs>
          <w:tab w:val="num" w:pos="90"/>
        </w:tabs>
        <w:autoSpaceDE w:val="0"/>
        <w:autoSpaceDN w:val="0"/>
        <w:adjustRightInd w:val="0"/>
        <w:spacing w:after="200"/>
        <w:ind w:left="-360" w:right="-608"/>
        <w:rPr>
          <w:rFonts w:ascii="Times New Roman" w:hAnsi="Times New Roman"/>
          <w:bCs/>
          <w:szCs w:val="22"/>
        </w:rPr>
      </w:pPr>
      <w:r>
        <w:rPr>
          <w:rFonts w:ascii="Times New Roman" w:hAnsi="Times New Roman"/>
        </w:rPr>
        <w:t xml:space="preserve">Le lisier est éjecté après une période de digestion anaérobie au sein du digesteur (environ 30-40 jours) ; il ressort ainsi du digesteur purifié, désinfecté, et les nutriments prennent une forme plus absorbable par les plantes. Le lisier éjecté (on parle souvent de lisier bio) est un liquide épais qui est évacué par la sortie de l'installation de biogaz, puis est amené dans une fosse à lisier où il peut être utilisé sous forme liquide ou séché et transformé en compost. Le lisier bio est un excellent engrais naturel qui réduit la nécessité d'acheter des engrais chimiques ainsi que les dépenses connexes. Au Népal, par exemple, où un programme de biogaz domestique a été mis en œuvre au cours des 25 dernières années, les agriculteurs ont observé des économies annuelles supérieures à 20 $ (Source : Programme népalais de soutien au biogaz : un modèle réussi de partenariat public-privé pour l'approvisionnement en énergie des ménages ruraux, 2005) par ménage suite à l'utilisation du lisier en tant qu'engrais organique par rapport aux engrais chimiques. Ainsi, un ménage agricole possédant une installation de biogaz bénéficiera d'un approvisionnement continu en engrais </w:t>
      </w:r>
      <w:r w:rsidR="005D1314">
        <w:rPr>
          <w:rFonts w:ascii="Times New Roman" w:hAnsi="Times New Roman"/>
        </w:rPr>
        <w:t xml:space="preserve">biologique </w:t>
      </w:r>
      <w:r>
        <w:rPr>
          <w:rFonts w:ascii="Times New Roman" w:hAnsi="Times New Roman"/>
        </w:rPr>
        <w:t xml:space="preserve">de qualité pour ses cultures, </w:t>
      </w:r>
      <w:r w:rsidR="005D1314">
        <w:rPr>
          <w:rFonts w:ascii="Times New Roman" w:hAnsi="Times New Roman"/>
        </w:rPr>
        <w:t>de meilleures conditions d’</w:t>
      </w:r>
      <w:r>
        <w:rPr>
          <w:rFonts w:ascii="Times New Roman" w:hAnsi="Times New Roman"/>
        </w:rPr>
        <w:t>hygiène et d</w:t>
      </w:r>
      <w:r w:rsidR="005D1314">
        <w:rPr>
          <w:rFonts w:ascii="Times New Roman" w:hAnsi="Times New Roman"/>
        </w:rPr>
        <w:t>’une meilleure qualité d</w:t>
      </w:r>
      <w:r>
        <w:rPr>
          <w:rFonts w:ascii="Times New Roman" w:hAnsi="Times New Roman"/>
        </w:rPr>
        <w:t xml:space="preserve">e vie. </w:t>
      </w:r>
    </w:p>
    <w:p w:rsidR="00511EFD" w:rsidRPr="001F1343" w:rsidRDefault="00CA7034" w:rsidP="00511EFD">
      <w:pPr>
        <w:tabs>
          <w:tab w:val="num" w:pos="90"/>
        </w:tabs>
        <w:autoSpaceDE w:val="0"/>
        <w:autoSpaceDN w:val="0"/>
        <w:adjustRightInd w:val="0"/>
        <w:spacing w:after="200"/>
        <w:ind w:left="-360" w:right="-608"/>
        <w:rPr>
          <w:rFonts w:ascii="Times New Roman" w:hAnsi="Times New Roman"/>
          <w:bCs/>
          <w:szCs w:val="22"/>
        </w:rPr>
      </w:pPr>
      <w:r>
        <w:rPr>
          <w:rFonts w:ascii="Times New Roman" w:hAnsi="Times New Roman"/>
        </w:rPr>
        <w:t xml:space="preserve">Le biogaz est un mélange de gaz produit par des bactéries </w:t>
      </w:r>
      <w:r w:rsidR="005D1314">
        <w:rPr>
          <w:rFonts w:ascii="Times New Roman" w:hAnsi="Times New Roman"/>
        </w:rPr>
        <w:t>du</w:t>
      </w:r>
      <w:r>
        <w:rPr>
          <w:rFonts w:ascii="Times New Roman" w:hAnsi="Times New Roman"/>
        </w:rPr>
        <w:t xml:space="preserve"> méthane agissant sur des matières biodégradables dans un environnement en manque d'oxygène. L</w:t>
      </w:r>
      <w:r w:rsidR="005D1314">
        <w:rPr>
          <w:rFonts w:ascii="Times New Roman" w:hAnsi="Times New Roman"/>
        </w:rPr>
        <w:t>e biogaz est composé de 50 à 60 </w:t>
      </w:r>
      <w:r>
        <w:rPr>
          <w:rFonts w:ascii="Times New Roman" w:hAnsi="Times New Roman"/>
        </w:rPr>
        <w:t>% de méthane, de 40 à 50</w:t>
      </w:r>
      <w:r w:rsidR="005D1314">
        <w:rPr>
          <w:rFonts w:ascii="Times New Roman" w:hAnsi="Times New Roman"/>
        </w:rPr>
        <w:t> </w:t>
      </w:r>
      <w:r>
        <w:rPr>
          <w:rFonts w:ascii="Times New Roman" w:hAnsi="Times New Roman"/>
        </w:rPr>
        <w:t xml:space="preserve">% de dioxyde de carbone et de traces d'autres gaz. Il est incolore et brûle avec une flamme bleue claire identique à celle du gaz de pétrole liquéfié (GPL), la combustion se faisant presque sans fumée (Source : Programme népalais de soutien au biogaz). Le processus bactériologique du système suppose une température optimale de 35 à 40 degrés Celsius pour une bonne fermentation ; de ce fait, les systèmes de biogaz sont parfaitement adaptés à des climats chauds. </w:t>
      </w:r>
    </w:p>
    <w:p w:rsidR="00723B7C" w:rsidRPr="001F1343" w:rsidRDefault="00CA7034" w:rsidP="00723B7C">
      <w:pPr>
        <w:tabs>
          <w:tab w:val="num" w:pos="90"/>
        </w:tabs>
        <w:autoSpaceDE w:val="0"/>
        <w:autoSpaceDN w:val="0"/>
        <w:adjustRightInd w:val="0"/>
        <w:spacing w:after="200"/>
        <w:ind w:left="-360" w:right="-608"/>
        <w:rPr>
          <w:rFonts w:ascii="Times New Roman" w:hAnsi="Times New Roman"/>
          <w:bCs/>
          <w:szCs w:val="22"/>
        </w:rPr>
      </w:pPr>
      <w:r>
        <w:rPr>
          <w:rFonts w:ascii="Times New Roman" w:hAnsi="Times New Roman"/>
        </w:rPr>
        <w:t>Quant à la conception du digesteur, il est généralement admis que le GGC (Gobar Gas Commission) à dôme fixe 2047, mis au point au Népal et qui a apporté la preuve de sa qualité et sa fiabilité dans plusieurs pays asiatiques (Bangladesh, Cambodge, Laos, Vietnam, etc.) et dont l'utilisation est actuellement encouragée dans plusieurs pays africains (par exemple Bénin (vidéo disponible sur YouTube), Burkina Faso, Éthiopie, Mali, Niger, Rwanda, etc.) dans le cadre de l'initiative « Biogaz », avec la participation de SNV Pays-Bas (depuis 1998, SNV a installé 500 000 digesteurs dans plusieurs pays en développement). La Figure 2 ci-dessous présente un schéma du digesteur.</w:t>
      </w:r>
    </w:p>
    <w:p w:rsidR="001F51CC" w:rsidRPr="001F1343" w:rsidRDefault="00CA7034" w:rsidP="00723B7C">
      <w:pPr>
        <w:tabs>
          <w:tab w:val="num" w:pos="90"/>
        </w:tabs>
        <w:autoSpaceDE w:val="0"/>
        <w:autoSpaceDN w:val="0"/>
        <w:adjustRightInd w:val="0"/>
        <w:spacing w:after="200"/>
        <w:ind w:left="-360" w:right="-608"/>
        <w:jc w:val="center"/>
        <w:rPr>
          <w:rFonts w:ascii="Times New Roman" w:hAnsi="Times New Roman"/>
          <w:b/>
          <w:szCs w:val="22"/>
        </w:rPr>
      </w:pPr>
      <w:r>
        <w:rPr>
          <w:rFonts w:ascii="Times New Roman" w:hAnsi="Times New Roman"/>
          <w:b/>
        </w:rPr>
        <w:t>Figure 2 : Schéma d'un digesteur à biogaz à dôme fixe, Népal.</w:t>
      </w:r>
    </w:p>
    <w:p w:rsidR="007F4D48" w:rsidRPr="001F1343" w:rsidRDefault="0024411E" w:rsidP="001F51CC">
      <w:pPr>
        <w:tabs>
          <w:tab w:val="num" w:pos="90"/>
        </w:tabs>
        <w:autoSpaceDE w:val="0"/>
        <w:autoSpaceDN w:val="0"/>
        <w:adjustRightInd w:val="0"/>
        <w:spacing w:after="200"/>
        <w:ind w:left="-360" w:right="-360"/>
        <w:jc w:val="center"/>
        <w:rPr>
          <w:rFonts w:ascii="Times New Roman" w:hAnsi="Times New Roman"/>
          <w:b/>
          <w:bCs/>
          <w:szCs w:val="22"/>
        </w:rPr>
      </w:pPr>
      <w:r>
        <w:rPr>
          <w:b/>
          <w:i/>
          <w:noProof/>
        </w:rPr>
        <w:lastRenderedPageBreak/>
        <w:drawing>
          <wp:inline distT="0" distB="0" distL="0" distR="0">
            <wp:extent cx="3782695" cy="3253105"/>
            <wp:effectExtent l="0" t="0" r="1905"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2695" cy="3253105"/>
                    </a:xfrm>
                    <a:prstGeom prst="rect">
                      <a:avLst/>
                    </a:prstGeom>
                    <a:noFill/>
                    <a:ln>
                      <a:noFill/>
                    </a:ln>
                  </pic:spPr>
                </pic:pic>
              </a:graphicData>
            </a:graphic>
          </wp:inline>
        </w:drawing>
      </w:r>
    </w:p>
    <w:p w:rsidR="00C7180F" w:rsidRPr="001F1343" w:rsidRDefault="00C7180F" w:rsidP="00C7180F">
      <w:pPr>
        <w:autoSpaceDE w:val="0"/>
        <w:autoSpaceDN w:val="0"/>
        <w:adjustRightInd w:val="0"/>
        <w:ind w:left="360"/>
        <w:rPr>
          <w:rFonts w:ascii="Times New Roman" w:hAnsi="Times New Roman"/>
          <w:b/>
          <w:szCs w:val="22"/>
        </w:rPr>
      </w:pPr>
    </w:p>
    <w:p w:rsidR="00C7180F" w:rsidRPr="001F1343" w:rsidRDefault="00CA7034" w:rsidP="00A47585">
      <w:pPr>
        <w:autoSpaceDE w:val="0"/>
        <w:autoSpaceDN w:val="0"/>
        <w:adjustRightInd w:val="0"/>
        <w:ind w:left="360" w:right="-540"/>
        <w:jc w:val="center"/>
        <w:rPr>
          <w:rFonts w:ascii="Times New Roman" w:hAnsi="Times New Roman"/>
          <w:sz w:val="16"/>
          <w:szCs w:val="16"/>
        </w:rPr>
      </w:pPr>
      <w:r>
        <w:rPr>
          <w:rFonts w:ascii="Times New Roman" w:hAnsi="Times New Roman"/>
          <w:b/>
        </w:rPr>
        <w:tab/>
      </w:r>
      <w:r>
        <w:rPr>
          <w:rFonts w:ascii="Times New Roman" w:hAnsi="Times New Roman"/>
          <w:b/>
        </w:rPr>
        <w:tab/>
      </w: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 xml:space="preserve">Le digesteur est normalement construit sous terre, seuls la chambre de mélange, l'entrée, </w:t>
      </w:r>
      <w:r w:rsidR="005D1314">
        <w:rPr>
          <w:rFonts w:ascii="Times New Roman" w:hAnsi="Times New Roman"/>
        </w:rPr>
        <w:t>le</w:t>
      </w:r>
      <w:r>
        <w:rPr>
          <w:rFonts w:ascii="Times New Roman" w:hAnsi="Times New Roman"/>
        </w:rPr>
        <w:t xml:space="preserve"> trop-plein et </w:t>
      </w:r>
      <w:r w:rsidR="005D1314">
        <w:rPr>
          <w:rFonts w:ascii="Times New Roman" w:hAnsi="Times New Roman"/>
        </w:rPr>
        <w:t xml:space="preserve">les conduites </w:t>
      </w:r>
      <w:r>
        <w:rPr>
          <w:rFonts w:ascii="Times New Roman" w:hAnsi="Times New Roman"/>
        </w:rPr>
        <w:t>d'arrivée du gaz étant présents en surface. Une fois que l'alimentation a débuté, la production complète de gaz prend environ 3 à 4 semaines.</w:t>
      </w: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 xml:space="preserve">Concernant le bétail au niveau domestique, la Guinée </w:t>
      </w:r>
      <w:r w:rsidR="005D1314">
        <w:rPr>
          <w:rFonts w:ascii="Times New Roman" w:hAnsi="Times New Roman"/>
        </w:rPr>
        <w:t>bénéficie</w:t>
      </w:r>
      <w:r>
        <w:rPr>
          <w:rFonts w:ascii="Times New Roman" w:hAnsi="Times New Roman"/>
        </w:rPr>
        <w:t xml:space="preserve"> déjà d</w:t>
      </w:r>
      <w:r w:rsidR="005D72E6">
        <w:rPr>
          <w:rFonts w:ascii="Times New Roman" w:hAnsi="Times New Roman"/>
        </w:rPr>
        <w:t>u programme</w:t>
      </w:r>
      <w:r>
        <w:rPr>
          <w:rFonts w:ascii="Times New Roman" w:hAnsi="Times New Roman"/>
        </w:rPr>
        <w:t xml:space="preserve"> PROGEDE (Gestion durable du bétail ruminant endémique en Afrique de l'Ouest). Il s'agit d'un projet financé par le FEM (biodiversité) et actuellement mis en œuvre par le PNUD (période de mise en œuvre : 2008-2016), couvrant la Gambie, le Sénégal, le Mali et la Guinée. PROGEDE a pour but de développer et de mettre en œuvre des modèles de conservation et gestion, par la communauté, d'habitats critiques pour des espèces de bétail ruminant endémiques spécifiques (vaches, moutons et chèvres) et de proposer des stratégies de préservation d'ensembles uniques trait génétique/habitat d'une grande importance au niveau mondial. Certaines initiatives et certains programmes relatifs à l'utilisation de la biomasse et du biogaz sont en cours ou à venir. Les plus pertinents d'entre eux sont brièvement décrits ci-dessous :</w:t>
      </w:r>
    </w:p>
    <w:p w:rsidR="00824923" w:rsidRPr="001F1343" w:rsidRDefault="00824923" w:rsidP="001F51CC">
      <w:pPr>
        <w:autoSpaceDE w:val="0"/>
        <w:autoSpaceDN w:val="0"/>
        <w:adjustRightInd w:val="0"/>
        <w:ind w:left="-450" w:right="-540"/>
        <w:rPr>
          <w:rFonts w:ascii="Times New Roman" w:hAnsi="Times New Roman"/>
          <w:szCs w:val="22"/>
        </w:rPr>
      </w:pP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b/>
        </w:rPr>
        <w:t>PRONIASE :</w:t>
      </w:r>
      <w:r>
        <w:rPr>
          <w:rFonts w:ascii="Times New Roman" w:hAnsi="Times New Roman"/>
        </w:rPr>
        <w:t xml:space="preserve"> La Guinée, en tant que membre de la CEDEAO (Communauté économique des États de l'Afrique de l'Ouest), souscrit au Livre blanc pour une Politique énergétique régionale de janvier 2006 (adopté par les chefs d'État et d</w:t>
      </w:r>
      <w:r w:rsidR="00D46179">
        <w:rPr>
          <w:rFonts w:ascii="Times New Roman" w:hAnsi="Times New Roman"/>
        </w:rPr>
        <w:t>e</w:t>
      </w:r>
      <w:r>
        <w:rPr>
          <w:rFonts w:ascii="Times New Roman" w:hAnsi="Times New Roman"/>
        </w:rPr>
        <w:t xml:space="preserve"> gouvernement des 15 États membres de la CEDEAO) axé sur le renforcement de l'accès aux services énergétiques pour les populations vivant en milieu rural et périurbain à des fins de réduction de la pauvreté, estimant que sa mise en œuvre entraînerait une accélération du processus de développement menant à la réalisation des OMD. À cet égard, la Politique de la CEDEAO pour les énergies renouvelables (EREP) formulée en octobre 2012 (version finale) propose, entre autres choses, la mise en place d'installations de biogaz afin de « promouvoir l'utilisation efficace de l'énergie domestique (bois de chauffage, gaz (biogaz) et kérosène) » et « d'alimenter (en électricité) les mini-réseaux » en vertu du PRONIASE (Programme national intégré d'accès aux services énergétiques) qui auraient directement couvert 3,8 millions d'habitants, soit 36</w:t>
      </w:r>
      <w:r w:rsidR="00D46179">
        <w:rPr>
          <w:rFonts w:ascii="Times New Roman" w:hAnsi="Times New Roman"/>
        </w:rPr>
        <w:t> </w:t>
      </w:r>
      <w:r>
        <w:rPr>
          <w:rFonts w:ascii="Times New Roman" w:hAnsi="Times New Roman"/>
        </w:rPr>
        <w:t>% de la population totale, à la fois en milieu rural et périurbain.</w:t>
      </w:r>
      <w:r w:rsidR="000E6CB0">
        <w:rPr>
          <w:rFonts w:ascii="Times New Roman" w:hAnsi="Times New Roman"/>
        </w:rPr>
        <w:t xml:space="preserve"> </w:t>
      </w:r>
      <w:r>
        <w:rPr>
          <w:rFonts w:ascii="Times New Roman" w:hAnsi="Times New Roman"/>
        </w:rPr>
        <w:t xml:space="preserve">Conformément à la Composante 3 du PRONIASE relative aux combustibles à des fins d'usage domestique et d'efficacité énergétique, le PNUD a mis au point les 3 sous-programmes suivants : (i) Étude sur le potentiel en bioénergie de la Guinée ; (ii) Stratégie nationale pour le développement des biocarburants en Guinée : et (iii) Programme national de biogaz domestique en Guinée. Toutefois, comme indiqué précédemment, le PRONIASE n'a jamais réellement vu le jour en raison de son incapacité à développer des partenariats et à mobiliser des ressources. </w:t>
      </w:r>
    </w:p>
    <w:p w:rsidR="00824923" w:rsidRPr="001F1343" w:rsidRDefault="00824923" w:rsidP="001F51CC">
      <w:pPr>
        <w:autoSpaceDE w:val="0"/>
        <w:autoSpaceDN w:val="0"/>
        <w:adjustRightInd w:val="0"/>
        <w:ind w:left="-450" w:right="-540"/>
        <w:rPr>
          <w:rFonts w:ascii="Times New Roman" w:hAnsi="Times New Roman"/>
          <w:szCs w:val="22"/>
        </w:rPr>
      </w:pP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b/>
        </w:rPr>
        <w:t>Programme national de biogaz domestique en Guinée</w:t>
      </w:r>
      <w:r w:rsidR="006F7F4D">
        <w:rPr>
          <w:rFonts w:ascii="Times New Roman" w:hAnsi="Times New Roman"/>
        </w:rPr>
        <w:t xml:space="preserve"> :</w:t>
      </w:r>
      <w:r>
        <w:rPr>
          <w:rFonts w:ascii="Times New Roman" w:hAnsi="Times New Roman"/>
        </w:rPr>
        <w:t xml:space="preserve"> L'objectif du Programme national de biogaz domestique en Guinée était de réduire la déforestation via l'utilisation de biogaz à des fins domestiques, l'amélioration de la condition des femmes, l'éducation, la santé et l'assainissement, la productivité agricole, la génération de revenus/prestations d'emploi. La Phase 1 a débuté en 1989 avec le soutien du gouvernement de la République populaire de Chine et a consisté, entre autres, en la création d'un Centre national pour les nouvelles sources d'énergies renouvelables qui héberge un laboratoire en bioénergie où le contenu énergétique de différentes espèces de plantes pourrait être déterminé. Elle </w:t>
      </w:r>
      <w:r w:rsidR="008E0ADD">
        <w:rPr>
          <w:rFonts w:ascii="Times New Roman" w:hAnsi="Times New Roman"/>
        </w:rPr>
        <w:t>prévoyait</w:t>
      </w:r>
      <w:r>
        <w:rPr>
          <w:rFonts w:ascii="Times New Roman" w:hAnsi="Times New Roman"/>
        </w:rPr>
        <w:t xml:space="preserve"> également la construction d'un digesteur pilote de type chinois afin de produire du biogaz pour la cuisine et l'éclairage. En 1994, au terme de cette Phase 1, une Phase 2 a été proposée, via un financement conjoint chinois/guinéen, afin de convertir le Centre national en un Centre régional de biogaz, d'installer 200 digesteurs domestiques/communaux et de déterminer la faisabilité de l'utilisation du biogaz à des fins de production d'électricité et autres usages productifs. </w:t>
      </w:r>
      <w:r w:rsidR="008E0ADD">
        <w:rPr>
          <w:rFonts w:ascii="Times New Roman" w:hAnsi="Times New Roman"/>
        </w:rPr>
        <w:t>Bien</w:t>
      </w:r>
      <w:r>
        <w:rPr>
          <w:rFonts w:ascii="Times New Roman" w:hAnsi="Times New Roman"/>
        </w:rPr>
        <w:t xml:space="preserve"> qu'environ 90 digesteurs communaux </w:t>
      </w:r>
      <w:r w:rsidR="008E0ADD">
        <w:rPr>
          <w:rFonts w:ascii="Times New Roman" w:hAnsi="Times New Roman"/>
        </w:rPr>
        <w:t>aie</w:t>
      </w:r>
      <w:r>
        <w:rPr>
          <w:rFonts w:ascii="Times New Roman" w:hAnsi="Times New Roman"/>
        </w:rPr>
        <w:t xml:space="preserve">nt été construits (voir ci-dessus), l'étude de faisabilité </w:t>
      </w:r>
      <w:r w:rsidR="008E0ADD">
        <w:rPr>
          <w:rFonts w:ascii="Times New Roman" w:hAnsi="Times New Roman"/>
        </w:rPr>
        <w:t>préalablement à l’</w:t>
      </w:r>
      <w:r>
        <w:rPr>
          <w:rFonts w:ascii="Times New Roman" w:hAnsi="Times New Roman"/>
        </w:rPr>
        <w:t>établi</w:t>
      </w:r>
      <w:r w:rsidR="008E0ADD">
        <w:rPr>
          <w:rFonts w:ascii="Times New Roman" w:hAnsi="Times New Roman"/>
        </w:rPr>
        <w:t>ssement du</w:t>
      </w:r>
      <w:r>
        <w:rPr>
          <w:rFonts w:ascii="Times New Roman" w:hAnsi="Times New Roman"/>
        </w:rPr>
        <w:t xml:space="preserve"> Centre régional de biogaz ne s'est jamais matérialisée en raison de l'indisponibilité des ressources, et la Phase 2 en est restée au stade de la formulation sans suivi de sa mise en œuvre. </w:t>
      </w:r>
    </w:p>
    <w:p w:rsidR="00824923" w:rsidRPr="001F1343" w:rsidRDefault="00824923" w:rsidP="001F51CC">
      <w:pPr>
        <w:autoSpaceDE w:val="0"/>
        <w:autoSpaceDN w:val="0"/>
        <w:adjustRightInd w:val="0"/>
        <w:ind w:left="-450" w:right="-540"/>
        <w:rPr>
          <w:rFonts w:ascii="Times New Roman" w:hAnsi="Times New Roman"/>
          <w:szCs w:val="22"/>
        </w:rPr>
      </w:pP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b/>
        </w:rPr>
        <w:t>CERESCOR</w:t>
      </w:r>
      <w:r>
        <w:rPr>
          <w:rFonts w:ascii="Times New Roman" w:hAnsi="Times New Roman"/>
        </w:rPr>
        <w:t xml:space="preserve"> (Centre de recherche scientifique de Conakry-Rogbanè) : Créé en juillet 1982 avec l'appui de l'ancienne Union soviétique dans le cadre de sa coopération scientifique avec la République de Guinée, il a pour mission de contribuer au développement économique du pays en fournissant une expertise scientifique et technique en matière d'océanographie, de matériaux de construction et d'énergie. En collaboration avec l'université de Conakry, le CERESCOR a travaillé à la conception et la certification de plusieurs programmes portant sur l'amélioration des cuisinières, des applications photovoltaïques solaires ou encore la production de biogaz pour la cuisine et l'éclairage en milieu rural. Eu égard au biogaz, le CERESCOR avait installé en 1996, en collaboration avec l'université de Conakry, 2 digesteurs à biogaz pilotes (8 m3 et 12 m3) dans le cadre d'un programme d'assistance technique de 5 ans, avec le soutien de la Wallonie (Belgique) et de l'Agence universitaire de la francophonie basée à Montréal, dans le village agricole de Tambana (à environ 15 km de Kindia, sur la route de Mamou), afin d'approvisionner en biogaz, pour la cuisine et l'éclairage, 10 ménages ainsi que la mosquée du village. Ces digesteurs ont été gratuitement fournis au village, étaient gérés par un Comité du village et approvisionnaient en biogaz soit pour la cuisine soit pour l'éclairage, mais pas pour les deux simultanément. Après 5 ans, le programme d'assistance technique a pris fin et ces 2 digesteurs sont tombés en désuétude en raison d'une mauvaise gestion collective et d'un manque d'entretien, et ont été abandonnés. Toutefois, le succès de ces 2 digesteurs lors des premières années faisant suite à l'installation a conduit à la construction de 30 autres digesteurs à biogaz dans le cadre de ce</w:t>
      </w:r>
      <w:r w:rsidR="00D950CA">
        <w:rPr>
          <w:rFonts w:ascii="Times New Roman" w:hAnsi="Times New Roman"/>
        </w:rPr>
        <w:t xml:space="preserve"> même partenariat, cette fois</w:t>
      </w:r>
      <w:r>
        <w:rPr>
          <w:rFonts w:ascii="Times New Roman" w:hAnsi="Times New Roman"/>
        </w:rPr>
        <w:t xml:space="preserve"> avec le soutien du ministère de l'Énergie. Ces derniers, comme indiqué précédemment, sont également tombés en désuétude et ont été abandonnés une fois que l'assistance technique a pris fin.</w:t>
      </w:r>
    </w:p>
    <w:p w:rsidR="00A1492B" w:rsidRPr="001F1343" w:rsidRDefault="00F50E52" w:rsidP="001F51CC">
      <w:pPr>
        <w:autoSpaceDE w:val="0"/>
        <w:autoSpaceDN w:val="0"/>
        <w:adjustRightInd w:val="0"/>
        <w:ind w:left="-450" w:right="-540"/>
        <w:rPr>
          <w:rFonts w:ascii="Times New Roman" w:hAnsi="Times New Roman"/>
          <w:szCs w:val="22"/>
        </w:rPr>
      </w:pPr>
      <w:r>
        <w:rPr>
          <w:rFonts w:ascii="Times New Roman" w:hAnsi="Times New Roman"/>
        </w:rPr>
        <w:t xml:space="preserve">Lorsque le présent projet du FEM sera opérationnel, le </w:t>
      </w:r>
      <w:r w:rsidR="00CA7034">
        <w:rPr>
          <w:rFonts w:ascii="Times New Roman" w:hAnsi="Times New Roman"/>
        </w:rPr>
        <w:t xml:space="preserve">CERESCOR et l'université de Conakry pourraient </w:t>
      </w:r>
      <w:r>
        <w:rPr>
          <w:rFonts w:ascii="Times New Roman" w:hAnsi="Times New Roman"/>
        </w:rPr>
        <w:t xml:space="preserve">avoir pour rôle de </w:t>
      </w:r>
      <w:r w:rsidR="00CA7034">
        <w:rPr>
          <w:rFonts w:ascii="Times New Roman" w:hAnsi="Times New Roman"/>
        </w:rPr>
        <w:t xml:space="preserve">définir la conception et la certification de </w:t>
      </w:r>
      <w:r w:rsidR="007562CF">
        <w:rPr>
          <w:rFonts w:ascii="Times New Roman" w:hAnsi="Times New Roman"/>
        </w:rPr>
        <w:t>bio digesteurs</w:t>
      </w:r>
      <w:r w:rsidR="00CA7034">
        <w:rPr>
          <w:rFonts w:ascii="Times New Roman" w:hAnsi="Times New Roman"/>
        </w:rPr>
        <w:t xml:space="preserve"> adaptés à l'environnement local.</w:t>
      </w:r>
    </w:p>
    <w:p w:rsidR="001F51CC" w:rsidRPr="001F1343" w:rsidRDefault="000E6CB0" w:rsidP="001F51CC">
      <w:pPr>
        <w:autoSpaceDE w:val="0"/>
        <w:autoSpaceDN w:val="0"/>
        <w:adjustRightInd w:val="0"/>
        <w:ind w:left="-450" w:right="-540"/>
        <w:rPr>
          <w:rFonts w:ascii="Times New Roman" w:hAnsi="Times New Roman"/>
          <w:szCs w:val="22"/>
        </w:rPr>
      </w:pPr>
      <w:r>
        <w:rPr>
          <w:rFonts w:ascii="Times New Roman" w:hAnsi="Times New Roman"/>
        </w:rPr>
        <w:t xml:space="preserve"> </w:t>
      </w:r>
      <w:r w:rsidR="00CA7034">
        <w:rPr>
          <w:rFonts w:ascii="Times New Roman" w:hAnsi="Times New Roman"/>
        </w:rPr>
        <w:t xml:space="preserve"> </w:t>
      </w:r>
    </w:p>
    <w:p w:rsidR="001F51CC" w:rsidRPr="001F1343" w:rsidRDefault="00CA7034" w:rsidP="001F51CC">
      <w:pPr>
        <w:autoSpaceDE w:val="0"/>
        <w:autoSpaceDN w:val="0"/>
        <w:adjustRightInd w:val="0"/>
        <w:ind w:left="-450" w:right="-540"/>
        <w:rPr>
          <w:rFonts w:ascii="Times New Roman" w:hAnsi="Times New Roman"/>
          <w:b/>
          <w:szCs w:val="22"/>
        </w:rPr>
      </w:pPr>
      <w:r>
        <w:rPr>
          <w:rFonts w:ascii="Times New Roman" w:hAnsi="Times New Roman"/>
          <w:b/>
        </w:rPr>
        <w:t>Institutions de microfinance en soutien au programme de biogaz.</w:t>
      </w: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 xml:space="preserve">En Guinée, la microfinance est un moyen </w:t>
      </w:r>
      <w:r w:rsidR="00F50E52">
        <w:rPr>
          <w:rFonts w:ascii="Times New Roman" w:hAnsi="Times New Roman"/>
        </w:rPr>
        <w:t xml:space="preserve">reconnu </w:t>
      </w:r>
      <w:r>
        <w:rPr>
          <w:rFonts w:ascii="Times New Roman" w:hAnsi="Times New Roman"/>
        </w:rPr>
        <w:t xml:space="preserve">de réduction de la pauvreté, tel qu'indiqué dans le Document de stratégie pour la réduction de la pauvreté (DSRP II). En Guinée, les IMF sont </w:t>
      </w:r>
      <w:r w:rsidR="00F50E52">
        <w:rPr>
          <w:rFonts w:ascii="Times New Roman" w:hAnsi="Times New Roman"/>
        </w:rPr>
        <w:t>réglementées par</w:t>
      </w:r>
      <w:r>
        <w:rPr>
          <w:rFonts w:ascii="Times New Roman" w:hAnsi="Times New Roman"/>
        </w:rPr>
        <w:t xml:space="preserve"> l'Agence nationale de la microfinance (ANAMIF) qui </w:t>
      </w:r>
      <w:r w:rsidR="00F50E52">
        <w:rPr>
          <w:rFonts w:ascii="Times New Roman" w:hAnsi="Times New Roman"/>
        </w:rPr>
        <w:t>relève de l’autorité du</w:t>
      </w:r>
      <w:r>
        <w:rPr>
          <w:rFonts w:ascii="Times New Roman" w:hAnsi="Times New Roman"/>
        </w:rPr>
        <w:t xml:space="preserve"> bureau du Président. Le rôle de l'ANAMIF consiste à promouvoir le développement de la microfinance à des fins de réduction de la pauvreté, à analyser les services fournis par les IMF afin de répondre comme il se doit aux besoins de la population, à </w:t>
      </w:r>
      <w:r w:rsidR="0007496C">
        <w:rPr>
          <w:rFonts w:ascii="Times New Roman" w:hAnsi="Times New Roman"/>
        </w:rPr>
        <w:t xml:space="preserve">préciser, renforcer et </w:t>
      </w:r>
      <w:r>
        <w:rPr>
          <w:rFonts w:ascii="Times New Roman" w:hAnsi="Times New Roman"/>
        </w:rPr>
        <w:t xml:space="preserve">améliorer les législations existantes, et à </w:t>
      </w:r>
      <w:r w:rsidR="0007496C">
        <w:rPr>
          <w:rFonts w:ascii="Times New Roman" w:hAnsi="Times New Roman"/>
        </w:rPr>
        <w:t>harmoniser</w:t>
      </w:r>
      <w:r>
        <w:rPr>
          <w:rFonts w:ascii="Times New Roman" w:hAnsi="Times New Roman"/>
        </w:rPr>
        <w:t xml:space="preserve"> les systèmes et procédures </w:t>
      </w:r>
      <w:r w:rsidR="0007496C">
        <w:rPr>
          <w:rFonts w:ascii="Times New Roman" w:hAnsi="Times New Roman"/>
        </w:rPr>
        <w:t>aux</w:t>
      </w:r>
      <w:r>
        <w:rPr>
          <w:rFonts w:ascii="Times New Roman" w:hAnsi="Times New Roman"/>
        </w:rPr>
        <w:t xml:space="preserve"> normes internationales. Elle assure la gestion du Fonds national de microcrédit de 18 millions </w:t>
      </w:r>
      <w:r w:rsidR="0007496C">
        <w:rPr>
          <w:rFonts w:ascii="Times New Roman" w:hAnsi="Times New Roman"/>
        </w:rPr>
        <w:t xml:space="preserve">de dollars </w:t>
      </w:r>
      <w:r>
        <w:rPr>
          <w:rFonts w:ascii="Times New Roman" w:hAnsi="Times New Roman"/>
        </w:rPr>
        <w:t>mis à disposition en 2013 par le bureau du Président « afin de soutenir les initiatives privées de</w:t>
      </w:r>
      <w:r w:rsidR="0007496C">
        <w:rPr>
          <w:rFonts w:ascii="Times New Roman" w:hAnsi="Times New Roman"/>
        </w:rPr>
        <w:t xml:space="preserve"> femmes et de jeunes Guinéens », et qui travaille avec </w:t>
      </w:r>
      <w:r>
        <w:rPr>
          <w:rFonts w:ascii="Times New Roman" w:hAnsi="Times New Roman"/>
        </w:rPr>
        <w:t xml:space="preserve">13 IMF </w:t>
      </w:r>
      <w:r w:rsidR="0007496C">
        <w:rPr>
          <w:rFonts w:ascii="Times New Roman" w:hAnsi="Times New Roman"/>
        </w:rPr>
        <w:t>dans l’ensemble du pays.</w:t>
      </w:r>
    </w:p>
    <w:p w:rsidR="00824923" w:rsidRPr="001F1343" w:rsidRDefault="00824923" w:rsidP="001F51CC">
      <w:pPr>
        <w:autoSpaceDE w:val="0"/>
        <w:autoSpaceDN w:val="0"/>
        <w:adjustRightInd w:val="0"/>
        <w:ind w:left="-450" w:right="-540"/>
        <w:rPr>
          <w:rFonts w:ascii="Times New Roman" w:hAnsi="Times New Roman"/>
          <w:szCs w:val="22"/>
        </w:rPr>
      </w:pP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 xml:space="preserve">Les institutions de microfinance (IMF) offrent principalement des crédits, des produits d'épargne, des transferts d'argent et d'autres services de paiement à leurs clients/membres en fonction de leur structure juridique. Les services financiers </w:t>
      </w:r>
      <w:r>
        <w:rPr>
          <w:rFonts w:ascii="Times New Roman" w:hAnsi="Times New Roman"/>
        </w:rPr>
        <w:lastRenderedPageBreak/>
        <w:t>sont pour la plupart proposés aux p</w:t>
      </w:r>
      <w:r w:rsidR="00D54D71">
        <w:rPr>
          <w:rFonts w:ascii="Times New Roman" w:hAnsi="Times New Roman"/>
        </w:rPr>
        <w:t>ersonnes à faible revenu afin de développ</w:t>
      </w:r>
      <w:r w:rsidR="00D61B84">
        <w:rPr>
          <w:rFonts w:ascii="Times New Roman" w:hAnsi="Times New Roman"/>
        </w:rPr>
        <w:t>er</w:t>
      </w:r>
      <w:r>
        <w:rPr>
          <w:rFonts w:ascii="Times New Roman" w:hAnsi="Times New Roman"/>
        </w:rPr>
        <w:t xml:space="preserve"> et de </w:t>
      </w:r>
      <w:r w:rsidR="00D61B84">
        <w:rPr>
          <w:rFonts w:ascii="Times New Roman" w:hAnsi="Times New Roman"/>
        </w:rPr>
        <w:t xml:space="preserve">faciliter leurs activités génératrices de </w:t>
      </w:r>
      <w:r>
        <w:rPr>
          <w:rFonts w:ascii="Times New Roman" w:hAnsi="Times New Roman"/>
        </w:rPr>
        <w:t xml:space="preserve">revenus, </w:t>
      </w:r>
      <w:r w:rsidR="00D61B84">
        <w:rPr>
          <w:rFonts w:ascii="Times New Roman" w:hAnsi="Times New Roman"/>
        </w:rPr>
        <w:t xml:space="preserve">celles </w:t>
      </w:r>
      <w:r>
        <w:rPr>
          <w:rFonts w:ascii="Times New Roman" w:hAnsi="Times New Roman"/>
        </w:rPr>
        <w:t xml:space="preserve">des </w:t>
      </w:r>
      <w:r w:rsidR="00F520CE">
        <w:rPr>
          <w:rFonts w:ascii="Times New Roman" w:hAnsi="Times New Roman"/>
        </w:rPr>
        <w:t>microentreprises</w:t>
      </w:r>
      <w:r>
        <w:rPr>
          <w:rFonts w:ascii="Times New Roman" w:hAnsi="Times New Roman"/>
        </w:rPr>
        <w:t xml:space="preserve"> et des petites sociétés. Les IMF sont regroupées sous la houlette de l'Association professionnelle des institutions de microfinance de Guinée (APIMG). Une quinzaine d'IMF </w:t>
      </w:r>
      <w:r w:rsidR="00D61B84">
        <w:rPr>
          <w:rFonts w:ascii="Times New Roman" w:hAnsi="Times New Roman"/>
        </w:rPr>
        <w:t xml:space="preserve">existent dans l’ensemble du </w:t>
      </w:r>
      <w:r>
        <w:rPr>
          <w:rFonts w:ascii="Times New Roman" w:hAnsi="Times New Roman"/>
        </w:rPr>
        <w:t>pays, la plus importante étant Crédit Rural S.A. qui dispose d'un vaste réseau de 200 points de service sur l'ensemble des 8 provinces du pa</w:t>
      </w:r>
      <w:r w:rsidR="006F7F4D">
        <w:rPr>
          <w:rFonts w:ascii="Times New Roman" w:hAnsi="Times New Roman"/>
        </w:rPr>
        <w:t>ys.</w:t>
      </w:r>
      <w:r>
        <w:rPr>
          <w:rFonts w:ascii="Times New Roman" w:hAnsi="Times New Roman"/>
        </w:rPr>
        <w:t xml:space="preserve"> Elles proposent normalement des crédits à court terme entre 1 et 12 mois à un taux d'intérêt mensuel compris entre 2 et 4</w:t>
      </w:r>
      <w:r w:rsidR="00D61B84">
        <w:rPr>
          <w:rFonts w:ascii="Times New Roman" w:hAnsi="Times New Roman"/>
        </w:rPr>
        <w:t> </w:t>
      </w:r>
      <w:r>
        <w:rPr>
          <w:rFonts w:ascii="Times New Roman" w:hAnsi="Times New Roman"/>
        </w:rPr>
        <w:t>%. Toutefois, des prêts à long terme sont parfois accordés pour une durée allant jusqu'à 42 mois à un taux d'intérêt moindre.</w:t>
      </w:r>
    </w:p>
    <w:p w:rsidR="00824923" w:rsidRPr="001F1343" w:rsidRDefault="00824923" w:rsidP="001F51CC">
      <w:pPr>
        <w:autoSpaceDE w:val="0"/>
        <w:autoSpaceDN w:val="0"/>
        <w:adjustRightInd w:val="0"/>
        <w:ind w:left="-450" w:right="-540"/>
        <w:rPr>
          <w:rFonts w:ascii="Times New Roman" w:hAnsi="Times New Roman"/>
          <w:szCs w:val="22"/>
        </w:rPr>
      </w:pP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Les IMF seront appelées à jouer un rôle très important dans le programme de biogaz pour les ménages ruraux. On estime qu'un digesteur à biogaz domestique de 6 m3 produisant 3,5 m3 de gaz par jour, ainsi qu'une cuisinière et 2 lampes à gaz, coûteront environ 800 $. Et le projet propose de reproduire le mécanisme de financement auquel SNV a eu recours afin de soutenir des programmes de biogaz domestiques dans plusieurs pays en Afrique, en Amérique latine et en Asie. Les composantes de ce mécanisme de financement pour ménages/consommateurs sont les suivantes</w:t>
      </w:r>
      <w:r w:rsidR="00D61B84">
        <w:rPr>
          <w:rFonts w:ascii="Times New Roman" w:hAnsi="Times New Roman"/>
        </w:rPr>
        <w:t> :</w:t>
      </w:r>
    </w:p>
    <w:p w:rsidR="00824923" w:rsidRPr="001F1343" w:rsidRDefault="00824923" w:rsidP="001F51CC">
      <w:pPr>
        <w:autoSpaceDE w:val="0"/>
        <w:autoSpaceDN w:val="0"/>
        <w:adjustRightInd w:val="0"/>
        <w:ind w:left="-450" w:right="-540"/>
        <w:rPr>
          <w:rFonts w:ascii="Times New Roman" w:hAnsi="Times New Roman"/>
          <w:szCs w:val="22"/>
        </w:rPr>
      </w:pP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w:t>
      </w:r>
      <w:r>
        <w:rPr>
          <w:rFonts w:ascii="Times New Roman" w:hAnsi="Times New Roman"/>
        </w:rPr>
        <w:tab/>
        <w:t>Un acompte de 10</w:t>
      </w:r>
      <w:r w:rsidR="00D61B84">
        <w:rPr>
          <w:rFonts w:ascii="Times New Roman" w:hAnsi="Times New Roman"/>
        </w:rPr>
        <w:t> </w:t>
      </w:r>
      <w:r>
        <w:rPr>
          <w:rFonts w:ascii="Times New Roman" w:hAnsi="Times New Roman"/>
        </w:rPr>
        <w:t>%, soit en espèce soit en espèce et en nature.</w:t>
      </w: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w:t>
      </w:r>
      <w:r>
        <w:rPr>
          <w:rFonts w:ascii="Times New Roman" w:hAnsi="Times New Roman"/>
        </w:rPr>
        <w:tab/>
        <w:t>Une prime à l'investissement (subvention) de 20</w:t>
      </w:r>
      <w:r w:rsidR="00D61B84">
        <w:rPr>
          <w:rFonts w:ascii="Times New Roman" w:hAnsi="Times New Roman"/>
        </w:rPr>
        <w:t> </w:t>
      </w:r>
      <w:r>
        <w:rPr>
          <w:rFonts w:ascii="Times New Roman" w:hAnsi="Times New Roman"/>
        </w:rPr>
        <w:t>%.</w:t>
      </w:r>
    </w:p>
    <w:p w:rsidR="001F51CC" w:rsidRPr="001F1343" w:rsidRDefault="00CA7034" w:rsidP="001F51CC">
      <w:pPr>
        <w:autoSpaceDE w:val="0"/>
        <w:autoSpaceDN w:val="0"/>
        <w:adjustRightInd w:val="0"/>
        <w:ind w:left="-450" w:right="-540"/>
        <w:rPr>
          <w:rFonts w:ascii="Times New Roman" w:hAnsi="Times New Roman"/>
          <w:szCs w:val="22"/>
        </w:rPr>
      </w:pPr>
      <w:r>
        <w:rPr>
          <w:rFonts w:ascii="Times New Roman" w:hAnsi="Times New Roman"/>
        </w:rPr>
        <w:t>•</w:t>
      </w:r>
      <w:r>
        <w:rPr>
          <w:rFonts w:ascii="Times New Roman" w:hAnsi="Times New Roman"/>
        </w:rPr>
        <w:tab/>
        <w:t xml:space="preserve">Un prêt correspondant aux 70 % restants octroyé par une IMF, remboursable sur 3-4 ans. </w:t>
      </w:r>
    </w:p>
    <w:p w:rsidR="00824923" w:rsidRPr="001F1343" w:rsidRDefault="00824923" w:rsidP="001F51CC">
      <w:pPr>
        <w:autoSpaceDE w:val="0"/>
        <w:autoSpaceDN w:val="0"/>
        <w:adjustRightInd w:val="0"/>
        <w:ind w:left="-450" w:right="-540"/>
        <w:rPr>
          <w:rFonts w:ascii="Times New Roman" w:hAnsi="Times New Roman"/>
          <w:szCs w:val="22"/>
        </w:rPr>
      </w:pPr>
    </w:p>
    <w:p w:rsidR="006E0A04" w:rsidRPr="001F1343" w:rsidRDefault="00CA7034" w:rsidP="001F51CC">
      <w:pPr>
        <w:autoSpaceDE w:val="0"/>
        <w:autoSpaceDN w:val="0"/>
        <w:adjustRightInd w:val="0"/>
        <w:ind w:left="-450" w:right="-540"/>
        <w:rPr>
          <w:rFonts w:ascii="Times New Roman" w:hAnsi="Times New Roman"/>
          <w:b/>
          <w:szCs w:val="22"/>
        </w:rPr>
      </w:pPr>
      <w:r>
        <w:rPr>
          <w:rFonts w:ascii="Times New Roman" w:hAnsi="Times New Roman"/>
          <w:b/>
        </w:rPr>
        <w:t>Digesteurs à biogaz destinés à être installés lors de la mise en œuvre du projet.</w:t>
      </w:r>
    </w:p>
    <w:p w:rsidR="00824923" w:rsidRPr="001F1343" w:rsidRDefault="00824923" w:rsidP="00790033">
      <w:pPr>
        <w:autoSpaceDE w:val="0"/>
        <w:autoSpaceDN w:val="0"/>
        <w:adjustRightInd w:val="0"/>
        <w:ind w:left="-450" w:right="-540"/>
        <w:rPr>
          <w:rFonts w:ascii="Times New Roman" w:hAnsi="Times New Roman"/>
          <w:szCs w:val="22"/>
        </w:rPr>
      </w:pPr>
    </w:p>
    <w:p w:rsidR="00790033" w:rsidRPr="001F1343" w:rsidRDefault="00CA7034" w:rsidP="00790033">
      <w:pPr>
        <w:autoSpaceDE w:val="0"/>
        <w:autoSpaceDN w:val="0"/>
        <w:adjustRightInd w:val="0"/>
        <w:ind w:left="-450" w:right="-540"/>
        <w:rPr>
          <w:rFonts w:ascii="Times New Roman" w:hAnsi="Times New Roman"/>
          <w:szCs w:val="22"/>
        </w:rPr>
      </w:pPr>
      <w:r>
        <w:rPr>
          <w:rFonts w:ascii="Times New Roman" w:hAnsi="Times New Roman"/>
        </w:rPr>
        <w:t>Lors de la mise en œuvre du PPG, les critères suivants ont été définis pour la sélection des régions/sites des 2</w:t>
      </w:r>
      <w:r w:rsidR="00D61B84">
        <w:rPr>
          <w:rFonts w:ascii="Times New Roman" w:hAnsi="Times New Roman"/>
        </w:rPr>
        <w:t> </w:t>
      </w:r>
      <w:r>
        <w:rPr>
          <w:rFonts w:ascii="Times New Roman" w:hAnsi="Times New Roman"/>
        </w:rPr>
        <w:t>000 digesteurs domestiques qui seront installés lors des 4 années du projet :</w:t>
      </w:r>
    </w:p>
    <w:p w:rsidR="00824923" w:rsidRPr="001F1343" w:rsidRDefault="00824923" w:rsidP="00790033">
      <w:pPr>
        <w:autoSpaceDE w:val="0"/>
        <w:autoSpaceDN w:val="0"/>
        <w:adjustRightInd w:val="0"/>
        <w:ind w:left="-450" w:right="-540"/>
        <w:rPr>
          <w:rFonts w:ascii="Times New Roman" w:hAnsi="Times New Roman"/>
          <w:szCs w:val="22"/>
        </w:rPr>
      </w:pPr>
    </w:p>
    <w:p w:rsidR="00790033" w:rsidRPr="001F1343" w:rsidRDefault="00CA7034" w:rsidP="000C4537">
      <w:pPr>
        <w:pStyle w:val="Paragraphedeliste"/>
        <w:numPr>
          <w:ilvl w:val="0"/>
          <w:numId w:val="12"/>
        </w:numPr>
        <w:autoSpaceDE w:val="0"/>
        <w:autoSpaceDN w:val="0"/>
        <w:adjustRightInd w:val="0"/>
        <w:ind w:right="-540"/>
        <w:rPr>
          <w:rFonts w:ascii="Times New Roman" w:hAnsi="Times New Roman"/>
          <w:szCs w:val="22"/>
        </w:rPr>
      </w:pPr>
      <w:r>
        <w:rPr>
          <w:rFonts w:ascii="Times New Roman" w:hAnsi="Times New Roman"/>
        </w:rPr>
        <w:t>Disponibilité des matières premières (bouse de vache) - les chiffres du recensement révèlent que la taille du cheptel par ménage est plus importante en Moyenne Guinée (Mamou et Labé) qu'en Haute Guinée (Kankan et Faranah).</w:t>
      </w:r>
    </w:p>
    <w:p w:rsidR="00790033" w:rsidRPr="001F1343" w:rsidRDefault="00CA7034" w:rsidP="000C4537">
      <w:pPr>
        <w:pStyle w:val="Paragraphedeliste"/>
        <w:numPr>
          <w:ilvl w:val="0"/>
          <w:numId w:val="12"/>
        </w:numPr>
        <w:autoSpaceDE w:val="0"/>
        <w:autoSpaceDN w:val="0"/>
        <w:adjustRightInd w:val="0"/>
        <w:ind w:right="-540"/>
        <w:rPr>
          <w:rFonts w:ascii="Times New Roman" w:hAnsi="Times New Roman"/>
          <w:szCs w:val="22"/>
        </w:rPr>
      </w:pPr>
      <w:r>
        <w:rPr>
          <w:rFonts w:ascii="Times New Roman" w:hAnsi="Times New Roman"/>
        </w:rPr>
        <w:t>Disponibilité de l'eau tout au long de l'année et facilité d'accès</w:t>
      </w:r>
      <w:r w:rsidR="00A2215B">
        <w:rPr>
          <w:rFonts w:ascii="Times New Roman" w:hAnsi="Times New Roman"/>
        </w:rPr>
        <w:t xml:space="preserve"> aux matériaux de construction.</w:t>
      </w:r>
    </w:p>
    <w:p w:rsidR="00790033" w:rsidRPr="001F1343" w:rsidRDefault="00CA7034" w:rsidP="000C4537">
      <w:pPr>
        <w:pStyle w:val="Paragraphedeliste"/>
        <w:numPr>
          <w:ilvl w:val="0"/>
          <w:numId w:val="12"/>
        </w:numPr>
        <w:autoSpaceDE w:val="0"/>
        <w:autoSpaceDN w:val="0"/>
        <w:adjustRightInd w:val="0"/>
        <w:ind w:right="-540"/>
        <w:rPr>
          <w:rFonts w:ascii="Times New Roman" w:hAnsi="Times New Roman"/>
          <w:szCs w:val="22"/>
        </w:rPr>
      </w:pPr>
      <w:r>
        <w:rPr>
          <w:rFonts w:ascii="Times New Roman" w:hAnsi="Times New Roman"/>
        </w:rPr>
        <w:t xml:space="preserve">Intérêt des ménages potentiels </w:t>
      </w:r>
      <w:r w:rsidR="00D61B84">
        <w:rPr>
          <w:rFonts w:ascii="Times New Roman" w:hAnsi="Times New Roman"/>
        </w:rPr>
        <w:t>pour la propriété</w:t>
      </w:r>
      <w:r>
        <w:rPr>
          <w:rFonts w:ascii="Times New Roman" w:hAnsi="Times New Roman"/>
        </w:rPr>
        <w:t xml:space="preserve"> de digesteurs. L'expérience acquise au cours de programmes antérieurs montre un plus grand intérêt et une plus grande motivation des ménages en Moyenne Guinée et Haute Guinée que dans les deux autres régions.</w:t>
      </w:r>
    </w:p>
    <w:p w:rsidR="00790033" w:rsidRPr="001F1343" w:rsidRDefault="00CA7034" w:rsidP="000C4537">
      <w:pPr>
        <w:pStyle w:val="Paragraphedeliste"/>
        <w:numPr>
          <w:ilvl w:val="0"/>
          <w:numId w:val="12"/>
        </w:numPr>
        <w:autoSpaceDE w:val="0"/>
        <w:autoSpaceDN w:val="0"/>
        <w:adjustRightInd w:val="0"/>
        <w:ind w:right="-540"/>
        <w:rPr>
          <w:rFonts w:ascii="Times New Roman" w:hAnsi="Times New Roman"/>
          <w:szCs w:val="22"/>
        </w:rPr>
      </w:pPr>
      <w:r>
        <w:rPr>
          <w:rFonts w:ascii="Times New Roman" w:hAnsi="Times New Roman"/>
        </w:rPr>
        <w:t xml:space="preserve">Utilisation des effluents par les exploitants - le jardinage/la petite agriculture sont très développés à Kindia, Mamou et Labé. Dans ces zones, il y a ainsi un fort potentiel d'utilisation des effluents des digesteurs à des fins de production alimentaire, soit comme conditionneur de sol soit comme engrais en lieu et place des engrais chimiques. </w:t>
      </w:r>
    </w:p>
    <w:p w:rsidR="00790033" w:rsidRPr="001F1343" w:rsidRDefault="00CA7034" w:rsidP="000C4537">
      <w:pPr>
        <w:pStyle w:val="Paragraphedeliste"/>
        <w:numPr>
          <w:ilvl w:val="0"/>
          <w:numId w:val="12"/>
        </w:numPr>
        <w:autoSpaceDE w:val="0"/>
        <w:autoSpaceDN w:val="0"/>
        <w:adjustRightInd w:val="0"/>
        <w:ind w:right="-540"/>
        <w:rPr>
          <w:rFonts w:ascii="Times New Roman" w:hAnsi="Times New Roman"/>
          <w:szCs w:val="22"/>
        </w:rPr>
      </w:pPr>
      <w:r>
        <w:rPr>
          <w:rFonts w:ascii="Times New Roman" w:hAnsi="Times New Roman"/>
        </w:rPr>
        <w:t>La disponibilité d'autres matières premières, par exemple les fientes de porcs/poulets, les produits agricoles mis au rebut et les tourteaux de palme.</w:t>
      </w:r>
    </w:p>
    <w:p w:rsidR="00064011" w:rsidRPr="001F1343" w:rsidRDefault="00CA7034" w:rsidP="000C4537">
      <w:pPr>
        <w:pStyle w:val="Paragraphedeliste"/>
        <w:numPr>
          <w:ilvl w:val="0"/>
          <w:numId w:val="12"/>
        </w:numPr>
        <w:autoSpaceDE w:val="0"/>
        <w:autoSpaceDN w:val="0"/>
        <w:adjustRightInd w:val="0"/>
        <w:ind w:right="-540"/>
        <w:rPr>
          <w:rFonts w:ascii="Times New Roman" w:hAnsi="Times New Roman"/>
          <w:szCs w:val="22"/>
        </w:rPr>
      </w:pPr>
      <w:r>
        <w:rPr>
          <w:rFonts w:ascii="Times New Roman" w:hAnsi="Times New Roman"/>
        </w:rPr>
        <w:t>La présence/l'intérêt des IMF actives dans ces régions et désireuses d'envisager d'offrir un nouveau prêt aux propriétaires/agriculteurs à des fins de développement du biogaz.</w:t>
      </w:r>
    </w:p>
    <w:p w:rsidR="00824923" w:rsidRPr="001F1343" w:rsidRDefault="00824923" w:rsidP="002B5ACF">
      <w:pPr>
        <w:spacing w:after="200"/>
        <w:ind w:left="-450" w:right="-518"/>
        <w:contextualSpacing/>
        <w:rPr>
          <w:rFonts w:ascii="Times New Roman" w:hAnsi="Times New Roman"/>
          <w:szCs w:val="22"/>
        </w:rPr>
      </w:pPr>
    </w:p>
    <w:p w:rsidR="00064011" w:rsidRPr="001F1343" w:rsidRDefault="00CA7034" w:rsidP="002B5ACF">
      <w:pPr>
        <w:spacing w:after="200"/>
        <w:ind w:left="-450" w:right="-518"/>
        <w:contextualSpacing/>
        <w:rPr>
          <w:rFonts w:ascii="Times New Roman" w:hAnsi="Times New Roman"/>
          <w:b/>
          <w:color w:val="FF0000"/>
          <w:szCs w:val="22"/>
        </w:rPr>
      </w:pPr>
      <w:r>
        <w:rPr>
          <w:rFonts w:ascii="Times New Roman" w:hAnsi="Times New Roman"/>
        </w:rPr>
        <w:t>Sur la base des critères précédents et de discussions menées avec différentes parties prenantes lors de la mise en œuvre du PPG, une liste de régions/sites pour l'installation des 2 000 digesteurs à biogaz domestiques a été</w:t>
      </w:r>
      <w:r w:rsidR="006F7F4D">
        <w:rPr>
          <w:rFonts w:ascii="Times New Roman" w:hAnsi="Times New Roman"/>
        </w:rPr>
        <w:t xml:space="preserve"> dressée (Tableau 4).</w:t>
      </w:r>
      <w:r>
        <w:rPr>
          <w:rFonts w:ascii="Times New Roman" w:hAnsi="Times New Roman"/>
        </w:rPr>
        <w:t xml:space="preserve"> </w:t>
      </w:r>
      <w:r w:rsidR="00CD4990">
        <w:rPr>
          <w:rFonts w:ascii="Times New Roman" w:hAnsi="Times New Roman"/>
        </w:rPr>
        <w:t>L’affirmation</w:t>
      </w:r>
      <w:r>
        <w:rPr>
          <w:rFonts w:ascii="Times New Roman" w:hAnsi="Times New Roman"/>
        </w:rPr>
        <w:t xml:space="preserve"> suivant résume l'état d'esprit des agriculteurs potentiellement intéressés par les digesteurs à biogaz : « Notre bétail ne se contentera pas de fournir la force de traction nécessaire et de produire de la viande/du lait, il fournira également du biogaz pour la cuisine et de l'engrais pour nos champs ». </w:t>
      </w:r>
    </w:p>
    <w:p w:rsidR="00064011" w:rsidRPr="001F1343" w:rsidRDefault="00064011" w:rsidP="00064011">
      <w:pPr>
        <w:spacing w:after="200"/>
        <w:ind w:left="360"/>
        <w:contextualSpacing/>
        <w:rPr>
          <w:rFonts w:ascii="Times New Roman" w:hAnsi="Times New Roman"/>
          <w:szCs w:val="22"/>
        </w:rPr>
      </w:pPr>
    </w:p>
    <w:p w:rsidR="00064011" w:rsidRPr="001F1343" w:rsidRDefault="00CA7034" w:rsidP="00064011">
      <w:pPr>
        <w:spacing w:after="200"/>
        <w:ind w:left="360"/>
        <w:contextualSpacing/>
        <w:jc w:val="center"/>
        <w:rPr>
          <w:rFonts w:ascii="Times New Roman" w:hAnsi="Times New Roman"/>
          <w:b/>
          <w:szCs w:val="22"/>
        </w:rPr>
      </w:pPr>
      <w:r>
        <w:rPr>
          <w:rFonts w:ascii="Times New Roman" w:hAnsi="Times New Roman"/>
          <w:b/>
        </w:rPr>
        <w:t>Tableau 4 : Localisation et nombre de digesteurs domestiques à installer.</w:t>
      </w:r>
    </w:p>
    <w:p w:rsidR="00064011" w:rsidRPr="001F1343" w:rsidRDefault="00064011" w:rsidP="00064011">
      <w:pPr>
        <w:spacing w:after="200"/>
        <w:ind w:left="360"/>
        <w:contextualSpacing/>
        <w:rPr>
          <w:rFonts w:ascii="Times New Roman" w:hAnsi="Times New Roman"/>
          <w:szCs w:val="22"/>
        </w:rPr>
      </w:pPr>
    </w:p>
    <w:tbl>
      <w:tblPr>
        <w:tblW w:w="87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140"/>
      </w:tblGrid>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Région/Localisation</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Nº de digesteurs de 6 m3 à installer</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Boké</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150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Kindia</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200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Mamou</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350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Labé</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400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Kankan</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350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Faranah</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300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N’Zérékoré</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150</w:t>
            </w:r>
          </w:p>
        </w:tc>
      </w:tr>
      <w:tr w:rsidR="00064011" w:rsidRPr="001F1343" w:rsidTr="00064011">
        <w:tc>
          <w:tcPr>
            <w:tcW w:w="459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TOTAL</w:t>
            </w:r>
          </w:p>
        </w:tc>
        <w:tc>
          <w:tcPr>
            <w:tcW w:w="4140" w:type="dxa"/>
          </w:tcPr>
          <w:p w:rsidR="00064011" w:rsidRPr="001F1343" w:rsidRDefault="00CA7034" w:rsidP="00064011">
            <w:pPr>
              <w:spacing w:after="200"/>
              <w:contextualSpacing/>
              <w:jc w:val="center"/>
              <w:rPr>
                <w:rFonts w:ascii="Times New Roman" w:hAnsi="Times New Roman"/>
                <w:szCs w:val="22"/>
              </w:rPr>
            </w:pPr>
            <w:r>
              <w:rPr>
                <w:rFonts w:ascii="Times New Roman" w:hAnsi="Times New Roman"/>
              </w:rPr>
              <w:t>2000</w:t>
            </w:r>
          </w:p>
        </w:tc>
      </w:tr>
    </w:tbl>
    <w:p w:rsidR="00064011" w:rsidRPr="001F1343" w:rsidRDefault="00064011" w:rsidP="00064011">
      <w:pPr>
        <w:spacing w:after="200"/>
        <w:ind w:left="360"/>
        <w:contextualSpacing/>
        <w:jc w:val="center"/>
        <w:rPr>
          <w:rFonts w:ascii="Times New Roman" w:hAnsi="Times New Roman"/>
          <w:szCs w:val="22"/>
        </w:rPr>
      </w:pPr>
    </w:p>
    <w:p w:rsidR="00240C4A" w:rsidRPr="001F1343" w:rsidRDefault="00CA7034" w:rsidP="000F2094">
      <w:pPr>
        <w:spacing w:after="200"/>
        <w:ind w:left="-450" w:right="-518"/>
        <w:contextualSpacing/>
        <w:rPr>
          <w:rFonts w:ascii="Times New Roman" w:hAnsi="Times New Roman"/>
          <w:szCs w:val="22"/>
        </w:rPr>
      </w:pPr>
      <w:r>
        <w:rPr>
          <w:rFonts w:ascii="Times New Roman" w:hAnsi="Times New Roman"/>
        </w:rPr>
        <w:t>Un exercice similaire a été effectué pour les digesteurs de grande taille (≥ 20 m</w:t>
      </w:r>
      <w:r>
        <w:rPr>
          <w:rFonts w:ascii="Times New Roman" w:hAnsi="Times New Roman"/>
          <w:vertAlign w:val="superscript"/>
        </w:rPr>
        <w:t>3</w:t>
      </w:r>
      <w:r>
        <w:rPr>
          <w:rFonts w:ascii="Times New Roman" w:hAnsi="Times New Roman"/>
        </w:rPr>
        <w:t>) ; on a proposé d'utiliser le biogaz principalement à des fins d'éclairage et de production d'eau chaude dans les installations où ces services n'existent pas. Lors de la formulation du PIF, il a été pressenti que les principaux candidats aux digesteurs de grande taille seraient « les entreprises artisanales, les abattoirs, les industries agroalimentaires et les établissements institutionnels tels que les hôpitaux, les écoles et les prisons ». Toutefois, lors de la mise en œuvre du PPG, il a été déterminé q</w:t>
      </w:r>
      <w:r w:rsidR="00044DDC">
        <w:rPr>
          <w:rFonts w:ascii="Times New Roman" w:hAnsi="Times New Roman"/>
        </w:rPr>
        <w:t>u’il n’existait pas en Guinée d’</w:t>
      </w:r>
      <w:r>
        <w:rPr>
          <w:rFonts w:ascii="Times New Roman" w:hAnsi="Times New Roman"/>
        </w:rPr>
        <w:t xml:space="preserve">entreprises artisanales ou </w:t>
      </w:r>
      <w:r w:rsidR="00044DDC">
        <w:rPr>
          <w:rFonts w:ascii="Times New Roman" w:hAnsi="Times New Roman"/>
        </w:rPr>
        <w:t>d’</w:t>
      </w:r>
      <w:r>
        <w:rPr>
          <w:rFonts w:ascii="Times New Roman" w:hAnsi="Times New Roman"/>
        </w:rPr>
        <w:t xml:space="preserve">industries agroalimentaires assez </w:t>
      </w:r>
      <w:r w:rsidR="00044DDC">
        <w:rPr>
          <w:rFonts w:ascii="Times New Roman" w:hAnsi="Times New Roman"/>
        </w:rPr>
        <w:t>importantes</w:t>
      </w:r>
      <w:r>
        <w:rPr>
          <w:rFonts w:ascii="Times New Roman" w:hAnsi="Times New Roman"/>
        </w:rPr>
        <w:t xml:space="preserve"> pour produire suffisamment de matières premières </w:t>
      </w:r>
      <w:r w:rsidR="00044DDC">
        <w:rPr>
          <w:rFonts w:ascii="Times New Roman" w:hAnsi="Times New Roman"/>
        </w:rPr>
        <w:t>pour</w:t>
      </w:r>
      <w:r>
        <w:rPr>
          <w:rFonts w:ascii="Times New Roman" w:hAnsi="Times New Roman"/>
        </w:rPr>
        <w:t xml:space="preserve"> </w:t>
      </w:r>
      <w:r w:rsidR="00044DDC">
        <w:rPr>
          <w:rFonts w:ascii="Times New Roman" w:hAnsi="Times New Roman"/>
        </w:rPr>
        <w:t>une utilisation</w:t>
      </w:r>
      <w:r>
        <w:rPr>
          <w:rFonts w:ascii="Times New Roman" w:hAnsi="Times New Roman"/>
        </w:rPr>
        <w:t xml:space="preserve"> dans un digesteur. </w:t>
      </w:r>
      <w:r w:rsidR="00044DDC">
        <w:rPr>
          <w:rFonts w:ascii="Times New Roman" w:hAnsi="Times New Roman"/>
        </w:rPr>
        <w:t>Par ailleurs</w:t>
      </w:r>
      <w:r>
        <w:rPr>
          <w:rFonts w:ascii="Times New Roman" w:hAnsi="Times New Roman"/>
        </w:rPr>
        <w:t xml:space="preserve">, il n'y a pas d'exploitations agricoles/de bétail autour des hôpitaux, des écoles et des prisons ; ainsi, les seules matières premières pouvant éventuellement être utilisées dans les digesteurs seraient les déchets humains issus des latrines/toilettes et les déchets de cuisine. Malheureusement, en Guinée, l'utilisation des déchets humains à des fins de production de biogaz n'est pas acceptable socialement et serait rejetée par la population. Quant aux exploitations bovines, il s'agit de coopératives regroupant plusieurs agriculteurs, mais seule une faible proportion du troupeau de bovins est sédentaire, la majorité étant nomade et à la recherche de fourrage ; il est ainsi impossible de faire fonctionner des digesteurs à biogaz à grande échelle. Enfin, les abattoirs appartiennent eux aux municipalités et fonctionnent de jour, la viande étant mise à disposition le jour même aux bouchers ; ainsi, ils ne disposent pas et n'ont pas besoin de disposer d'équipements frigorifiques. Les centres de santé appartiennent également aux municipalités et sont ouverts sans interruption, l'unique source d'électricité étant un système photovoltaïque utilisé afin d'alimenter un réfrigérateur médical ; pour l'éclairage, </w:t>
      </w:r>
      <w:r w:rsidR="00044DDC">
        <w:rPr>
          <w:rFonts w:ascii="Times New Roman" w:hAnsi="Times New Roman"/>
        </w:rPr>
        <w:t>ils ont recours aux</w:t>
      </w:r>
      <w:r>
        <w:rPr>
          <w:rFonts w:ascii="Times New Roman" w:hAnsi="Times New Roman"/>
        </w:rPr>
        <w:t xml:space="preserve"> lampes « chinoises » à LED à batterie </w:t>
      </w:r>
      <w:r w:rsidR="00044DDC">
        <w:rPr>
          <w:rFonts w:ascii="Times New Roman" w:hAnsi="Times New Roman"/>
        </w:rPr>
        <w:t>préalablement mentionnée</w:t>
      </w:r>
      <w:r>
        <w:rPr>
          <w:rFonts w:ascii="Times New Roman" w:hAnsi="Times New Roman"/>
        </w:rPr>
        <w:t xml:space="preserve">s. </w:t>
      </w:r>
    </w:p>
    <w:p w:rsidR="00240C4A" w:rsidRPr="001F1343" w:rsidRDefault="00240C4A" w:rsidP="00240C4A">
      <w:pPr>
        <w:spacing w:after="200"/>
        <w:ind w:left="360"/>
        <w:contextualSpacing/>
        <w:rPr>
          <w:rFonts w:ascii="Times New Roman" w:hAnsi="Times New Roman"/>
          <w:szCs w:val="22"/>
        </w:rPr>
      </w:pPr>
    </w:p>
    <w:p w:rsidR="000F2094" w:rsidRPr="001F1343" w:rsidRDefault="00CA7034" w:rsidP="000F2094">
      <w:pPr>
        <w:spacing w:after="200"/>
        <w:ind w:left="-450" w:right="-518"/>
        <w:contextualSpacing/>
        <w:rPr>
          <w:rFonts w:ascii="Times New Roman" w:hAnsi="Times New Roman"/>
          <w:szCs w:val="22"/>
        </w:rPr>
      </w:pPr>
      <w:r>
        <w:rPr>
          <w:rFonts w:ascii="Times New Roman" w:hAnsi="Times New Roman"/>
        </w:rPr>
        <w:t xml:space="preserve">Les informations relatives aux sites/localisations des digesteurs à biogaz pilotes à grande échelle sont résumées dans le Tableau 5 ci-dessous. </w:t>
      </w:r>
      <w:r w:rsidR="009E7739">
        <w:rPr>
          <w:rFonts w:ascii="Times New Roman" w:hAnsi="Times New Roman"/>
        </w:rPr>
        <w:t>Compte tenu de</w:t>
      </w:r>
      <w:r>
        <w:rPr>
          <w:rFonts w:ascii="Times New Roman" w:hAnsi="Times New Roman"/>
        </w:rPr>
        <w:t xml:space="preserve"> l'absence de digesteurs à biogaz en état de marche, de quelque taille que ce soit, au cours des dix dernières années en Guinée, les digesteurs pilotes à grande échelle ont été prudemment conçus afin de permettre à leurs propriétaires (secteur privé) de bénéficier de biogaz tout en étudiant également les utilisations supplémentaires que pourrait avoir le gaz produit. Il est à espérer qu'avec l'expérience accumulée, le secteur privé se tournera vers des emplois plus productifs du biogaz en utilisant les matières premières (biomasse) qu'il produit ou qui sont disponibles en tant que « déchets » au niveau des installations et, en cas de disponibilité accrue des ressources, qu'il développera des emplois productifs du biogaz tels que la génération d'électricité pour les mini-réseaux, la réfrigération/climatisation et le pompage d'eau via de plus grands digesteurs à biogaz. Enfin, chacune des institutions choisies pour héberger un digesteur à grande échelle pilote est gérée par un Comité de gestion habilité par la municipalité assurant sa supervision à contracter des prêts auprès d'établissements de crédit à des fins de développement d'infrastructures</w:t>
      </w:r>
      <w:r w:rsidR="009E7739">
        <w:rPr>
          <w:rFonts w:ascii="Times New Roman" w:hAnsi="Times New Roman"/>
        </w:rPr>
        <w:t>,</w:t>
      </w:r>
      <w:r>
        <w:rPr>
          <w:rFonts w:ascii="Times New Roman" w:hAnsi="Times New Roman"/>
        </w:rPr>
        <w:t xml:space="preserve"> et à effectuer des remboursements grâce aux revenus générés par les services fournis aux communautés respectives.</w:t>
      </w:r>
    </w:p>
    <w:p w:rsidR="001324FF" w:rsidRPr="001F1343" w:rsidRDefault="001324FF" w:rsidP="001324FF">
      <w:pPr>
        <w:spacing w:after="200"/>
        <w:ind w:left="-450" w:right="-518"/>
        <w:contextualSpacing/>
        <w:rPr>
          <w:rFonts w:ascii="Times New Roman" w:hAnsi="Times New Roman"/>
          <w:szCs w:val="22"/>
        </w:rPr>
      </w:pPr>
    </w:p>
    <w:p w:rsidR="000F2094" w:rsidRPr="001F1343" w:rsidRDefault="00CA7034" w:rsidP="00A47585">
      <w:pPr>
        <w:autoSpaceDE w:val="0"/>
        <w:autoSpaceDN w:val="0"/>
        <w:adjustRightInd w:val="0"/>
        <w:ind w:left="-450" w:right="-540"/>
        <w:rPr>
          <w:rFonts w:ascii="Times New Roman" w:hAnsi="Times New Roman"/>
          <w:szCs w:val="22"/>
        </w:rPr>
      </w:pPr>
      <w:r>
        <w:rPr>
          <w:rFonts w:ascii="Times New Roman" w:hAnsi="Times New Roman"/>
        </w:rPr>
        <w:t xml:space="preserve">Il est prévu que l'installation des digesteurs à des fins domestiques et commerciales/industrielles commence dans un délai de 12 mois à compter du début du projet et que les 2 000 digesteurs domestiques et les 10 digesteurs à grande échelle soient installés d'ici la fin du projet. Bien entendu, il faut espérer que l'environnement propice créé par le projet </w:t>
      </w:r>
      <w:r w:rsidR="009E7739">
        <w:rPr>
          <w:rFonts w:ascii="Times New Roman" w:hAnsi="Times New Roman"/>
        </w:rPr>
        <w:t>inciter</w:t>
      </w:r>
      <w:r>
        <w:rPr>
          <w:rFonts w:ascii="Times New Roman" w:hAnsi="Times New Roman"/>
        </w:rPr>
        <w:t xml:space="preserve"> les promoteurs </w:t>
      </w:r>
      <w:r w:rsidR="009E7739">
        <w:rPr>
          <w:rFonts w:ascii="Times New Roman" w:hAnsi="Times New Roman"/>
        </w:rPr>
        <w:t xml:space="preserve">à mettre en œuvre </w:t>
      </w:r>
      <w:r>
        <w:rPr>
          <w:rFonts w:ascii="Times New Roman" w:hAnsi="Times New Roman"/>
        </w:rPr>
        <w:t xml:space="preserve">d'autres projets et les IMF/établissements de crédit </w:t>
      </w:r>
      <w:r w:rsidR="009E7739">
        <w:rPr>
          <w:rFonts w:ascii="Times New Roman" w:hAnsi="Times New Roman"/>
        </w:rPr>
        <w:t xml:space="preserve">à </w:t>
      </w:r>
      <w:r>
        <w:rPr>
          <w:rFonts w:ascii="Times New Roman" w:hAnsi="Times New Roman"/>
        </w:rPr>
        <w:t>débloquer le</w:t>
      </w:r>
      <w:r w:rsidR="009E7739">
        <w:rPr>
          <w:rFonts w:ascii="Times New Roman" w:hAnsi="Times New Roman"/>
        </w:rPr>
        <w:t xml:space="preserve">s moyens nécessaires à l’installation potentielle </w:t>
      </w:r>
      <w:r>
        <w:rPr>
          <w:rFonts w:ascii="Times New Roman" w:hAnsi="Times New Roman"/>
        </w:rPr>
        <w:t>de digesteurs supplémentaires de différentes tailles dans le pays, dans les délais imp</w:t>
      </w:r>
      <w:r w:rsidR="006F7F4D">
        <w:rPr>
          <w:rFonts w:ascii="Times New Roman" w:hAnsi="Times New Roman"/>
        </w:rPr>
        <w:t>artis par le projet ainsi qu'au-</w:t>
      </w:r>
      <w:r>
        <w:rPr>
          <w:rFonts w:ascii="Times New Roman" w:hAnsi="Times New Roman"/>
        </w:rPr>
        <w:t>delà.</w:t>
      </w:r>
    </w:p>
    <w:p w:rsidR="001324FF" w:rsidRPr="001F1343" w:rsidRDefault="001324FF" w:rsidP="00A47585">
      <w:pPr>
        <w:autoSpaceDE w:val="0"/>
        <w:autoSpaceDN w:val="0"/>
        <w:adjustRightInd w:val="0"/>
        <w:ind w:left="-450" w:right="-540"/>
        <w:rPr>
          <w:rFonts w:ascii="Times New Roman" w:hAnsi="Times New Roman"/>
          <w:b/>
          <w:szCs w:val="22"/>
        </w:rPr>
      </w:pPr>
    </w:p>
    <w:p w:rsidR="001324FF" w:rsidRPr="001F1343" w:rsidRDefault="00CA7034" w:rsidP="001324FF">
      <w:pPr>
        <w:spacing w:after="0"/>
        <w:ind w:left="-450" w:right="-518"/>
        <w:contextualSpacing/>
        <w:rPr>
          <w:rFonts w:ascii="Times New Roman" w:hAnsi="Times New Roman"/>
          <w:szCs w:val="22"/>
        </w:rPr>
      </w:pPr>
      <w:r>
        <w:rPr>
          <w:rFonts w:ascii="Times New Roman" w:hAnsi="Times New Roman"/>
          <w:b/>
        </w:rPr>
        <w:t>Précautions de sécurité</w:t>
      </w:r>
    </w:p>
    <w:p w:rsidR="001324FF" w:rsidRPr="001F1343" w:rsidRDefault="001324FF" w:rsidP="001324FF">
      <w:pPr>
        <w:pStyle w:val="Paragraphedeliste"/>
        <w:spacing w:after="0"/>
        <w:ind w:left="360"/>
        <w:rPr>
          <w:rFonts w:ascii="Times New Roman" w:hAnsi="Times New Roman"/>
          <w:b/>
          <w:szCs w:val="22"/>
        </w:rPr>
      </w:pPr>
    </w:p>
    <w:p w:rsidR="001324FF" w:rsidRPr="001F1343" w:rsidRDefault="00CA7034" w:rsidP="001324FF">
      <w:pPr>
        <w:autoSpaceDE w:val="0"/>
        <w:autoSpaceDN w:val="0"/>
        <w:adjustRightInd w:val="0"/>
        <w:ind w:left="-450" w:right="-540"/>
        <w:rPr>
          <w:rFonts w:ascii="Times New Roman" w:hAnsi="Times New Roman"/>
          <w:b/>
          <w:szCs w:val="22"/>
        </w:rPr>
      </w:pPr>
      <w:r>
        <w:rPr>
          <w:rFonts w:ascii="Times New Roman" w:hAnsi="Times New Roman"/>
        </w:rPr>
        <w:t>Lors de l'installation et après la construction d'un digesteur, les consommateurs seront formés à l'utilisation sûre du biogaz. Le méthane présent dans le biogaz (entre 55 et 70</w:t>
      </w:r>
      <w:r w:rsidR="00DE2FEB">
        <w:rPr>
          <w:rFonts w:ascii="Times New Roman" w:hAnsi="Times New Roman"/>
        </w:rPr>
        <w:t> </w:t>
      </w:r>
      <w:r>
        <w:rPr>
          <w:rFonts w:ascii="Times New Roman" w:hAnsi="Times New Roman"/>
        </w:rPr>
        <w:t xml:space="preserve">%) peut provoquer des incendies en cas de fuites et en présence d'une flamme ou étincelle. </w:t>
      </w:r>
      <w:r w:rsidR="00DE2FEB">
        <w:rPr>
          <w:rFonts w:ascii="Times New Roman" w:hAnsi="Times New Roman"/>
        </w:rPr>
        <w:t>Toutefois</w:t>
      </w:r>
      <w:r>
        <w:rPr>
          <w:rFonts w:ascii="Times New Roman" w:hAnsi="Times New Roman"/>
        </w:rPr>
        <w:t xml:space="preserve">, le sulfure d'hydrogène (H2S) présent dans le gaz, très toxique, peut rapidement alerter les individus de la présence d'une fuite en raison de </w:t>
      </w:r>
      <w:r w:rsidR="00A002FD">
        <w:rPr>
          <w:rFonts w:ascii="Times New Roman" w:hAnsi="Times New Roman"/>
        </w:rPr>
        <w:t>sa forte</w:t>
      </w:r>
      <w:r>
        <w:rPr>
          <w:rFonts w:ascii="Times New Roman" w:hAnsi="Times New Roman"/>
        </w:rPr>
        <w:t xml:space="preserve"> odeur d'« œuf pourri », ce qui </w:t>
      </w:r>
      <w:r w:rsidR="00A002FD">
        <w:rPr>
          <w:rFonts w:ascii="Times New Roman" w:hAnsi="Times New Roman"/>
        </w:rPr>
        <w:t>facilite la prévention des a</w:t>
      </w:r>
      <w:r>
        <w:rPr>
          <w:rFonts w:ascii="Times New Roman" w:hAnsi="Times New Roman"/>
        </w:rPr>
        <w:t xml:space="preserve">ccidents. Au niveau des grandes installations, le contrôle des fuites de gaz sera assuré avec l'aide de détecteurs de gaz. Et, à titre de précaution, les usagers apprendront à ne pas pénétrer dans une zone fermée où des gaz peuvent être présents sans un équipement de protection individuelle adapté, équipement pouvant inclure un appareil respiratoire </w:t>
      </w:r>
      <w:r w:rsidR="00B06EAC">
        <w:rPr>
          <w:rFonts w:ascii="Times New Roman" w:hAnsi="Times New Roman"/>
        </w:rPr>
        <w:t>autonome (ARA</w:t>
      </w:r>
      <w:r>
        <w:rPr>
          <w:rFonts w:ascii="Times New Roman" w:hAnsi="Times New Roman"/>
        </w:rPr>
        <w:t xml:space="preserve">). Pour les digesteurs domestiques, le contrôle des fuites de gaz consistera à </w:t>
      </w:r>
      <w:r w:rsidR="00B06EAC">
        <w:rPr>
          <w:rFonts w:ascii="Times New Roman" w:hAnsi="Times New Roman"/>
        </w:rPr>
        <w:t xml:space="preserve">apprendre </w:t>
      </w:r>
      <w:r>
        <w:rPr>
          <w:rFonts w:ascii="Times New Roman" w:hAnsi="Times New Roman"/>
        </w:rPr>
        <w:t xml:space="preserve">aux consommateurs </w:t>
      </w:r>
      <w:r w:rsidR="00B06EAC">
        <w:rPr>
          <w:rFonts w:ascii="Times New Roman" w:hAnsi="Times New Roman"/>
        </w:rPr>
        <w:t>à</w:t>
      </w:r>
      <w:r w:rsidR="00A002FD">
        <w:rPr>
          <w:rFonts w:ascii="Times New Roman" w:hAnsi="Times New Roman"/>
        </w:rPr>
        <w:t xml:space="preserve"> déceler</w:t>
      </w:r>
      <w:r>
        <w:rPr>
          <w:rFonts w:ascii="Times New Roman" w:hAnsi="Times New Roman"/>
        </w:rPr>
        <w:t xml:space="preserve"> toute mauvaise odeur et, le cas échéant, </w:t>
      </w:r>
      <w:r w:rsidR="00B06EAC">
        <w:rPr>
          <w:rFonts w:ascii="Times New Roman" w:hAnsi="Times New Roman"/>
        </w:rPr>
        <w:t xml:space="preserve">à </w:t>
      </w:r>
      <w:r>
        <w:rPr>
          <w:rFonts w:ascii="Times New Roman" w:hAnsi="Times New Roman"/>
        </w:rPr>
        <w:t xml:space="preserve">s'abstenir d'utiliser le gaz. Dans ce cas, ils devront faire appel à un technicien qualifié, formé dans le cadre du projet, afin de vérifier et de corriger le problème. Enfin, le risque de fuite de gaz sera réduit au minimum via la qualité de l'installation effectuée par des techniciens qualifiés et la formation des usagers aux mesures de sécurité à </w:t>
      </w:r>
      <w:r w:rsidR="00B06EAC">
        <w:rPr>
          <w:rFonts w:ascii="Times New Roman" w:hAnsi="Times New Roman"/>
        </w:rPr>
        <w:t>respecter</w:t>
      </w:r>
      <w:r>
        <w:rPr>
          <w:rFonts w:ascii="Times New Roman" w:hAnsi="Times New Roman"/>
        </w:rPr>
        <w:t xml:space="preserve"> lors de l'utilisation du biogaz.</w:t>
      </w: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CA7034" w:rsidRDefault="00CA7034" w:rsidP="006E0A04">
      <w:pPr>
        <w:autoSpaceDE w:val="0"/>
        <w:autoSpaceDN w:val="0"/>
        <w:adjustRightInd w:val="0"/>
        <w:ind w:left="-450" w:right="-540"/>
        <w:sectPr w:rsidR="00CA7034" w:rsidSect="007314D8">
          <w:footerReference w:type="default" r:id="rId18"/>
          <w:pgSz w:w="12240" w:h="15840" w:code="1"/>
          <w:pgMar w:top="1440" w:right="1440" w:bottom="1440" w:left="1418" w:header="706" w:footer="706" w:gutter="0"/>
          <w:cols w:space="708"/>
          <w:docGrid w:linePitch="360"/>
        </w:sectPr>
      </w:pPr>
    </w:p>
    <w:p w:rsidR="000F2094" w:rsidRPr="001F1343" w:rsidRDefault="00CA7034" w:rsidP="00C3798F">
      <w:pPr>
        <w:autoSpaceDE w:val="0"/>
        <w:autoSpaceDN w:val="0"/>
        <w:adjustRightInd w:val="0"/>
        <w:ind w:left="-450" w:right="-540"/>
        <w:jc w:val="center"/>
        <w:rPr>
          <w:rFonts w:ascii="Times New Roman" w:hAnsi="Times New Roman"/>
          <w:b/>
          <w:szCs w:val="22"/>
        </w:rPr>
      </w:pPr>
      <w:r>
        <w:rPr>
          <w:rFonts w:ascii="Times New Roman" w:hAnsi="Times New Roman"/>
          <w:b/>
        </w:rPr>
        <w:lastRenderedPageBreak/>
        <w:t>Tableau 5 : Informations relatives aux digesteurs à grande échelle (≥ 20 m</w:t>
      </w:r>
      <w:r>
        <w:rPr>
          <w:rFonts w:ascii="Times New Roman" w:hAnsi="Times New Roman"/>
          <w:b/>
          <w:vertAlign w:val="superscript"/>
        </w:rPr>
        <w:t>3</w:t>
      </w:r>
      <w:r>
        <w:rPr>
          <w:rFonts w:ascii="Times New Roman" w:hAnsi="Times New Roman"/>
          <w:b/>
        </w:rPr>
        <w:t xml:space="preserve">) à installer. </w:t>
      </w:r>
    </w:p>
    <w:p w:rsidR="000F2094" w:rsidRPr="001F1343" w:rsidRDefault="000F2094" w:rsidP="006E0A04">
      <w:pPr>
        <w:autoSpaceDE w:val="0"/>
        <w:autoSpaceDN w:val="0"/>
        <w:adjustRightInd w:val="0"/>
        <w:ind w:left="-450" w:right="-540"/>
        <w:rPr>
          <w:rFonts w:ascii="Times New Roman" w:hAnsi="Times New Roman"/>
          <w:b/>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701"/>
        <w:gridCol w:w="1843"/>
        <w:gridCol w:w="1417"/>
        <w:gridCol w:w="3402"/>
        <w:gridCol w:w="1134"/>
        <w:gridCol w:w="992"/>
        <w:gridCol w:w="1645"/>
        <w:gridCol w:w="1545"/>
      </w:tblGrid>
      <w:tr w:rsidR="00824923" w:rsidRPr="001F1343" w:rsidTr="00FB5C00">
        <w:trPr>
          <w:trHeight w:val="284"/>
        </w:trPr>
        <w:tc>
          <w:tcPr>
            <w:tcW w:w="597" w:type="dxa"/>
          </w:tcPr>
          <w:p w:rsidR="00824923" w:rsidRPr="001F1343" w:rsidRDefault="00824923" w:rsidP="00FB5C00">
            <w:pPr>
              <w:pStyle w:val="Paragraphedeliste"/>
              <w:ind w:left="-23"/>
              <w:jc w:val="center"/>
              <w:rPr>
                <w:rFonts w:ascii="Times New Roman" w:hAnsi="Times New Roman"/>
                <w:szCs w:val="22"/>
              </w:rPr>
            </w:pPr>
          </w:p>
        </w:tc>
        <w:tc>
          <w:tcPr>
            <w:tcW w:w="1701" w:type="dxa"/>
          </w:tcPr>
          <w:p w:rsidR="00824923" w:rsidRPr="001F1343" w:rsidRDefault="00CA7034" w:rsidP="00FB5C00">
            <w:pPr>
              <w:pStyle w:val="Paragraphedeliste"/>
              <w:ind w:left="-23"/>
              <w:rPr>
                <w:rFonts w:ascii="Times New Roman" w:hAnsi="Times New Roman"/>
                <w:szCs w:val="22"/>
              </w:rPr>
            </w:pPr>
            <w:r>
              <w:rPr>
                <w:rFonts w:ascii="Times New Roman" w:hAnsi="Times New Roman"/>
              </w:rPr>
              <w:t>Nature de l'activité</w:t>
            </w:r>
          </w:p>
        </w:tc>
        <w:tc>
          <w:tcPr>
            <w:tcW w:w="1843" w:type="dxa"/>
          </w:tcPr>
          <w:p w:rsidR="00824923" w:rsidRPr="001F1343" w:rsidRDefault="00CA7034" w:rsidP="00FB5C00">
            <w:pPr>
              <w:pStyle w:val="Paragraphedeliste"/>
              <w:ind w:left="0"/>
              <w:rPr>
                <w:rFonts w:ascii="Times New Roman" w:hAnsi="Times New Roman"/>
                <w:szCs w:val="22"/>
              </w:rPr>
            </w:pPr>
            <w:r>
              <w:rPr>
                <w:rFonts w:ascii="Times New Roman" w:hAnsi="Times New Roman"/>
              </w:rPr>
              <w:t>Localisation/</w:t>
            </w:r>
            <w:r w:rsidR="008A1BAC">
              <w:rPr>
                <w:rFonts w:ascii="Times New Roman" w:hAnsi="Times New Roman"/>
              </w:rPr>
              <w:t xml:space="preserve"> </w:t>
            </w:r>
            <w:r>
              <w:rPr>
                <w:rFonts w:ascii="Times New Roman" w:hAnsi="Times New Roman"/>
              </w:rPr>
              <w:t>Région</w:t>
            </w:r>
          </w:p>
        </w:tc>
        <w:tc>
          <w:tcPr>
            <w:tcW w:w="1417" w:type="dxa"/>
          </w:tcPr>
          <w:p w:rsidR="00824923" w:rsidRPr="008A1BAC" w:rsidRDefault="00CA7034" w:rsidP="008A1BAC">
            <w:pPr>
              <w:jc w:val="left"/>
              <w:rPr>
                <w:rFonts w:ascii="Times New Roman" w:hAnsi="Times New Roman"/>
              </w:rPr>
            </w:pPr>
            <w:r>
              <w:rPr>
                <w:rFonts w:ascii="Times New Roman" w:hAnsi="Times New Roman"/>
              </w:rPr>
              <w:t>Matières premières/</w:t>
            </w:r>
            <w:r w:rsidR="008A1BAC">
              <w:rPr>
                <w:rFonts w:ascii="Times New Roman" w:hAnsi="Times New Roman"/>
              </w:rPr>
              <w:t xml:space="preserve"> </w:t>
            </w:r>
            <w:r>
              <w:rPr>
                <w:rFonts w:ascii="Times New Roman" w:hAnsi="Times New Roman"/>
              </w:rPr>
              <w:t>Taille du digesteur (m</w:t>
            </w:r>
            <w:r>
              <w:rPr>
                <w:rFonts w:ascii="Times New Roman" w:hAnsi="Times New Roman"/>
                <w:vertAlign w:val="superscript"/>
              </w:rPr>
              <w:t>3</w:t>
            </w:r>
            <w:r>
              <w:rPr>
                <w:rFonts w:ascii="Times New Roman" w:hAnsi="Times New Roman"/>
              </w:rPr>
              <w:t>)</w:t>
            </w:r>
          </w:p>
        </w:tc>
        <w:tc>
          <w:tcPr>
            <w:tcW w:w="3402"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Gaz utilisé pour :</w:t>
            </w:r>
          </w:p>
        </w:tc>
        <w:tc>
          <w:tcPr>
            <w:tcW w:w="1134" w:type="dxa"/>
          </w:tcPr>
          <w:p w:rsidR="00824923" w:rsidRPr="001F1343" w:rsidRDefault="00CA7034" w:rsidP="00FB5C00">
            <w:pPr>
              <w:rPr>
                <w:rFonts w:ascii="Times New Roman" w:hAnsi="Times New Roman"/>
                <w:szCs w:val="22"/>
              </w:rPr>
            </w:pPr>
            <w:r>
              <w:rPr>
                <w:rFonts w:ascii="Times New Roman" w:hAnsi="Times New Roman"/>
              </w:rPr>
              <w:t>Coût de l'installation ($)</w:t>
            </w:r>
          </w:p>
        </w:tc>
        <w:tc>
          <w:tcPr>
            <w:tcW w:w="992" w:type="dxa"/>
          </w:tcPr>
          <w:p w:rsidR="00824923" w:rsidRPr="001F1343" w:rsidRDefault="00CA7034" w:rsidP="00FB5C00">
            <w:pPr>
              <w:pStyle w:val="Paragraphedeliste"/>
              <w:ind w:left="0" w:hanging="26"/>
              <w:rPr>
                <w:rFonts w:ascii="Times New Roman" w:hAnsi="Times New Roman"/>
                <w:szCs w:val="22"/>
              </w:rPr>
            </w:pPr>
            <w:r>
              <w:rPr>
                <w:rFonts w:ascii="Times New Roman" w:hAnsi="Times New Roman"/>
              </w:rPr>
              <w:t>Lisier utilisé en tant que :</w:t>
            </w:r>
          </w:p>
        </w:tc>
        <w:tc>
          <w:tcPr>
            <w:tcW w:w="1645" w:type="dxa"/>
          </w:tcPr>
          <w:p w:rsidR="00824923" w:rsidRPr="001F1343" w:rsidRDefault="00CA7034" w:rsidP="00FB5C00">
            <w:pPr>
              <w:pStyle w:val="Paragraphedeliste"/>
              <w:ind w:left="0" w:hanging="30"/>
              <w:rPr>
                <w:rFonts w:ascii="Times New Roman" w:hAnsi="Times New Roman"/>
                <w:szCs w:val="22"/>
              </w:rPr>
            </w:pPr>
            <w:r>
              <w:rPr>
                <w:rFonts w:ascii="Times New Roman" w:hAnsi="Times New Roman"/>
              </w:rPr>
              <w:t>Nombre de têtes de bétail disponibles</w:t>
            </w:r>
          </w:p>
        </w:tc>
        <w:tc>
          <w:tcPr>
            <w:tcW w:w="1545" w:type="dxa"/>
          </w:tcPr>
          <w:p w:rsidR="00824923" w:rsidRPr="001F1343" w:rsidRDefault="00CA7034" w:rsidP="00FB5C00">
            <w:pPr>
              <w:pStyle w:val="Paragraphedeliste"/>
              <w:ind w:left="33"/>
              <w:rPr>
                <w:rFonts w:ascii="Times New Roman" w:hAnsi="Times New Roman"/>
                <w:szCs w:val="22"/>
              </w:rPr>
            </w:pPr>
            <w:r>
              <w:rPr>
                <w:rFonts w:ascii="Times New Roman" w:hAnsi="Times New Roman"/>
              </w:rPr>
              <w:t>Quantité de fumier/déchets disponibles par jour (kg)</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1</w:t>
            </w:r>
          </w:p>
        </w:tc>
        <w:tc>
          <w:tcPr>
            <w:tcW w:w="1701" w:type="dxa"/>
          </w:tcPr>
          <w:p w:rsidR="00824923" w:rsidRPr="001F1343" w:rsidRDefault="00CA7034" w:rsidP="00FB5C00">
            <w:pPr>
              <w:rPr>
                <w:rFonts w:ascii="Times New Roman" w:hAnsi="Times New Roman"/>
                <w:szCs w:val="22"/>
              </w:rPr>
            </w:pPr>
            <w:r>
              <w:rPr>
                <w:rFonts w:ascii="Times New Roman" w:hAnsi="Times New Roman"/>
              </w:rPr>
              <w:t>Abattoir</w:t>
            </w:r>
          </w:p>
        </w:tc>
        <w:tc>
          <w:tcPr>
            <w:tcW w:w="1843" w:type="dxa"/>
          </w:tcPr>
          <w:p w:rsidR="00824923" w:rsidRPr="00A2215B" w:rsidRDefault="00CA7034" w:rsidP="00A2215B">
            <w:pPr>
              <w:rPr>
                <w:rFonts w:ascii="Times New Roman" w:hAnsi="Times New Roman"/>
                <w:szCs w:val="22"/>
              </w:rPr>
            </w:pPr>
            <w:r w:rsidRPr="00A2215B">
              <w:rPr>
                <w:rFonts w:ascii="Times New Roman" w:hAnsi="Times New Roman"/>
              </w:rPr>
              <w:t>Mamou</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30</w:t>
            </w:r>
          </w:p>
        </w:tc>
        <w:tc>
          <w:tcPr>
            <w:tcW w:w="3402" w:type="dxa"/>
          </w:tcPr>
          <w:p w:rsidR="00824923" w:rsidRPr="008A1BAC" w:rsidRDefault="00CA7034" w:rsidP="008A1BAC">
            <w:pPr>
              <w:rPr>
                <w:rFonts w:ascii="Times New Roman" w:hAnsi="Times New Roman"/>
                <w:szCs w:val="22"/>
              </w:rPr>
            </w:pPr>
            <w:r>
              <w:rPr>
                <w:rFonts w:ascii="Times New Roman" w:hAnsi="Times New Roman"/>
              </w:rPr>
              <w:t>Électricité pour éclairage (1 kVA) et production d'eau chaude</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10 000</w:t>
            </w:r>
          </w:p>
        </w:tc>
        <w:tc>
          <w:tcPr>
            <w:tcW w:w="992" w:type="dxa"/>
          </w:tcPr>
          <w:p w:rsidR="00824923" w:rsidRPr="001F1343" w:rsidRDefault="00CA7034" w:rsidP="00FB5C00">
            <w:pPr>
              <w:pStyle w:val="Paragraphedeliste"/>
              <w:ind w:left="-76"/>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13 abattus + 20 dans l'enclos, par jour.</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150 + déchets animaux</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2</w:t>
            </w:r>
          </w:p>
        </w:tc>
        <w:tc>
          <w:tcPr>
            <w:tcW w:w="1701" w:type="dxa"/>
            <w:vMerge w:val="restart"/>
            <w:vAlign w:val="center"/>
          </w:tcPr>
          <w:p w:rsidR="00824923" w:rsidRPr="001F1343" w:rsidRDefault="00CA7034" w:rsidP="00FB5C00">
            <w:pPr>
              <w:rPr>
                <w:rFonts w:ascii="Times New Roman" w:hAnsi="Times New Roman"/>
                <w:szCs w:val="22"/>
              </w:rPr>
            </w:pPr>
            <w:r>
              <w:rPr>
                <w:rFonts w:ascii="Times New Roman" w:hAnsi="Times New Roman"/>
              </w:rPr>
              <w:t>Centres de santé</w:t>
            </w:r>
          </w:p>
          <w:p w:rsidR="00824923" w:rsidRPr="001F1343" w:rsidRDefault="00824923" w:rsidP="00FB5C00">
            <w:pPr>
              <w:rPr>
                <w:rFonts w:ascii="Times New Roman" w:hAnsi="Times New Roman"/>
                <w:szCs w:val="22"/>
              </w:rPr>
            </w:pPr>
          </w:p>
        </w:tc>
        <w:tc>
          <w:tcPr>
            <w:tcW w:w="1843" w:type="dxa"/>
          </w:tcPr>
          <w:p w:rsidR="00824923" w:rsidRPr="001F1343" w:rsidRDefault="00824923" w:rsidP="00FB5C00">
            <w:pPr>
              <w:rPr>
                <w:rFonts w:ascii="Times New Roman" w:hAnsi="Times New Roman"/>
                <w:szCs w:val="22"/>
              </w:rPr>
            </w:pPr>
          </w:p>
          <w:p w:rsidR="00824923" w:rsidRPr="001F1343" w:rsidRDefault="00CA7034" w:rsidP="00FB5C00">
            <w:pPr>
              <w:rPr>
                <w:rFonts w:ascii="Times New Roman" w:hAnsi="Times New Roman"/>
                <w:szCs w:val="22"/>
              </w:rPr>
            </w:pPr>
            <w:r>
              <w:rPr>
                <w:rFonts w:ascii="Times New Roman" w:hAnsi="Times New Roman"/>
              </w:rPr>
              <w:t>CR Dounet</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76"/>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900</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400 </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3</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CR Soya</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76"/>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1 000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600 </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4</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CR Saramoussaya</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76"/>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500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200 </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5</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CR Dogomet</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76"/>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1 000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600 </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6</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Poste Santé du District de Koolo</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66" w:hanging="4"/>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500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250 </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7</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District de Sebory</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lastRenderedPageBreak/>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lastRenderedPageBreak/>
              <w:t>7 000</w:t>
            </w:r>
          </w:p>
        </w:tc>
        <w:tc>
          <w:tcPr>
            <w:tcW w:w="992" w:type="dxa"/>
          </w:tcPr>
          <w:p w:rsidR="00824923" w:rsidRPr="001F1343" w:rsidRDefault="00CA7034" w:rsidP="00FB5C00">
            <w:pPr>
              <w:pStyle w:val="Paragraphedeliste"/>
              <w:ind w:left="-66" w:hanging="4"/>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1 000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600 </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lastRenderedPageBreak/>
              <w:t>8</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CR Mitty</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66" w:hanging="4"/>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200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130</w:t>
            </w:r>
          </w:p>
        </w:tc>
      </w:tr>
      <w:tr w:rsidR="00824923" w:rsidRPr="001F1343" w:rsidTr="00FB5C00">
        <w:trPr>
          <w:trHeight w:val="284"/>
        </w:trPr>
        <w:tc>
          <w:tcPr>
            <w:tcW w:w="597"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9</w:t>
            </w:r>
          </w:p>
        </w:tc>
        <w:tc>
          <w:tcPr>
            <w:tcW w:w="1701" w:type="dxa"/>
            <w:vMerge/>
          </w:tcPr>
          <w:p w:rsidR="00824923" w:rsidRPr="001F1343" w:rsidRDefault="00824923" w:rsidP="00FB5C00">
            <w:pPr>
              <w:pStyle w:val="Paragraphedeliste"/>
              <w:ind w:left="360"/>
              <w:jc w:val="center"/>
              <w:rPr>
                <w:rFonts w:ascii="Times New Roman" w:hAnsi="Times New Roman"/>
                <w:szCs w:val="22"/>
              </w:rPr>
            </w:pPr>
          </w:p>
        </w:tc>
        <w:tc>
          <w:tcPr>
            <w:tcW w:w="1843" w:type="dxa"/>
          </w:tcPr>
          <w:p w:rsidR="00824923" w:rsidRPr="001F1343" w:rsidRDefault="00CA7034" w:rsidP="00FB5C00">
            <w:pPr>
              <w:rPr>
                <w:rFonts w:ascii="Times New Roman" w:hAnsi="Times New Roman"/>
                <w:szCs w:val="22"/>
              </w:rPr>
            </w:pPr>
            <w:r>
              <w:rPr>
                <w:rFonts w:ascii="Times New Roman" w:hAnsi="Times New Roman"/>
              </w:rPr>
              <w:t>District de Linsan</w:t>
            </w:r>
          </w:p>
        </w:tc>
        <w:tc>
          <w:tcPr>
            <w:tcW w:w="1417" w:type="dxa"/>
          </w:tcPr>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20</w:t>
            </w:r>
          </w:p>
        </w:tc>
        <w:tc>
          <w:tcPr>
            <w:tcW w:w="3402" w:type="dxa"/>
          </w:tcPr>
          <w:p w:rsidR="00824923" w:rsidRPr="001F1343" w:rsidRDefault="00CA7034" w:rsidP="00FB5C00">
            <w:pPr>
              <w:rPr>
                <w:rFonts w:ascii="Times New Roman" w:hAnsi="Times New Roman"/>
                <w:szCs w:val="22"/>
              </w:rPr>
            </w:pPr>
            <w:r>
              <w:rPr>
                <w:rFonts w:ascii="Times New Roman" w:hAnsi="Times New Roman"/>
              </w:rPr>
              <w:t>Éclairage au gaz,</w:t>
            </w:r>
          </w:p>
          <w:p w:rsidR="00824923" w:rsidRPr="001F1343" w:rsidRDefault="00CA7034" w:rsidP="00FB5C00">
            <w:pPr>
              <w:rPr>
                <w:rFonts w:ascii="Times New Roman" w:hAnsi="Times New Roman"/>
                <w:szCs w:val="22"/>
              </w:rPr>
            </w:pPr>
            <w:r>
              <w:rPr>
                <w:rFonts w:ascii="Times New Roman" w:hAnsi="Times New Roman"/>
              </w:rPr>
              <w:t>stérilisation d'équipements médicaux et production d'eau chaude pour maternités.</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7 000</w:t>
            </w:r>
          </w:p>
        </w:tc>
        <w:tc>
          <w:tcPr>
            <w:tcW w:w="992" w:type="dxa"/>
          </w:tcPr>
          <w:p w:rsidR="00824923" w:rsidRPr="001F1343" w:rsidRDefault="00CA7034" w:rsidP="00FB5C00">
            <w:pPr>
              <w:pStyle w:val="Paragraphedeliste"/>
              <w:ind w:left="-66" w:hanging="4"/>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1 500</w:t>
            </w:r>
            <w:r w:rsidR="000E6CB0">
              <w:rPr>
                <w:rFonts w:ascii="Times New Roman" w:hAnsi="Times New Roman"/>
              </w:rPr>
              <w:t xml:space="preserve">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 xml:space="preserve">870 </w:t>
            </w:r>
          </w:p>
        </w:tc>
      </w:tr>
      <w:tr w:rsidR="00824923" w:rsidRPr="001F1343" w:rsidTr="000C3ED0">
        <w:trPr>
          <w:trHeight w:val="284"/>
        </w:trPr>
        <w:tc>
          <w:tcPr>
            <w:tcW w:w="597" w:type="dxa"/>
          </w:tcPr>
          <w:p w:rsidR="00824923" w:rsidRPr="001F1343" w:rsidRDefault="00CA7034" w:rsidP="00FB5C00">
            <w:pPr>
              <w:rPr>
                <w:rFonts w:ascii="Times New Roman" w:hAnsi="Times New Roman"/>
                <w:szCs w:val="22"/>
              </w:rPr>
            </w:pPr>
            <w:r>
              <w:rPr>
                <w:rFonts w:ascii="Times New Roman" w:hAnsi="Times New Roman"/>
              </w:rPr>
              <w:t>10</w:t>
            </w:r>
          </w:p>
        </w:tc>
        <w:tc>
          <w:tcPr>
            <w:tcW w:w="1701" w:type="dxa"/>
          </w:tcPr>
          <w:p w:rsidR="00824923" w:rsidRPr="001F1343" w:rsidRDefault="00CA7034" w:rsidP="00FB5C00">
            <w:pPr>
              <w:rPr>
                <w:rFonts w:ascii="Times New Roman" w:hAnsi="Times New Roman"/>
                <w:szCs w:val="22"/>
              </w:rPr>
            </w:pPr>
            <w:r>
              <w:rPr>
                <w:rFonts w:ascii="Times New Roman" w:hAnsi="Times New Roman"/>
              </w:rPr>
              <w:t xml:space="preserve">Centre de formation professionnelle </w:t>
            </w:r>
          </w:p>
        </w:tc>
        <w:tc>
          <w:tcPr>
            <w:tcW w:w="1843" w:type="dxa"/>
          </w:tcPr>
          <w:p w:rsidR="00824923" w:rsidRPr="001F1343" w:rsidRDefault="00CA7034" w:rsidP="00FB5C00">
            <w:pPr>
              <w:pStyle w:val="Paragraphedeliste"/>
              <w:ind w:left="-116"/>
              <w:jc w:val="center"/>
              <w:rPr>
                <w:rFonts w:ascii="Times New Roman" w:hAnsi="Times New Roman"/>
                <w:szCs w:val="22"/>
              </w:rPr>
            </w:pPr>
            <w:r>
              <w:rPr>
                <w:rFonts w:ascii="Times New Roman" w:hAnsi="Times New Roman"/>
              </w:rPr>
              <w:t>Institut supérieur des sciences et de médecine vétérinaire, Région de Dalaba.</w:t>
            </w:r>
          </w:p>
          <w:p w:rsidR="00824923" w:rsidRPr="001F1343" w:rsidRDefault="00824923" w:rsidP="00FB5C00">
            <w:pPr>
              <w:pStyle w:val="Paragraphedeliste"/>
              <w:ind w:left="360"/>
              <w:jc w:val="center"/>
              <w:rPr>
                <w:rFonts w:ascii="Times New Roman" w:hAnsi="Times New Roman"/>
                <w:szCs w:val="22"/>
              </w:rPr>
            </w:pPr>
          </w:p>
        </w:tc>
        <w:tc>
          <w:tcPr>
            <w:tcW w:w="1417" w:type="dxa"/>
          </w:tcPr>
          <w:p w:rsidR="00824923" w:rsidRPr="001F1343" w:rsidRDefault="00824923" w:rsidP="00FB5C00">
            <w:pPr>
              <w:pStyle w:val="Paragraphedeliste"/>
              <w:ind w:left="360"/>
              <w:jc w:val="center"/>
              <w:rPr>
                <w:rFonts w:ascii="Times New Roman" w:hAnsi="Times New Roman"/>
                <w:szCs w:val="22"/>
              </w:rPr>
            </w:pPr>
          </w:p>
          <w:p w:rsidR="00824923" w:rsidRPr="001F1343" w:rsidRDefault="00CA7034" w:rsidP="00FB5C00">
            <w:pPr>
              <w:pStyle w:val="Paragraphedeliste"/>
              <w:ind w:left="360"/>
              <w:jc w:val="center"/>
              <w:rPr>
                <w:rFonts w:ascii="Times New Roman" w:hAnsi="Times New Roman"/>
                <w:szCs w:val="22"/>
              </w:rPr>
            </w:pPr>
            <w:r>
              <w:rPr>
                <w:rFonts w:ascii="Times New Roman" w:hAnsi="Times New Roman"/>
              </w:rPr>
              <w:t>40</w:t>
            </w:r>
          </w:p>
        </w:tc>
        <w:tc>
          <w:tcPr>
            <w:tcW w:w="3402" w:type="dxa"/>
            <w:vAlign w:val="center"/>
          </w:tcPr>
          <w:p w:rsidR="00824923" w:rsidRPr="001F1343" w:rsidRDefault="00CA7034" w:rsidP="00FB5C00">
            <w:pPr>
              <w:pStyle w:val="Paragraphedeliste"/>
              <w:ind w:left="43"/>
              <w:rPr>
                <w:rFonts w:ascii="Times New Roman" w:hAnsi="Times New Roman"/>
                <w:szCs w:val="22"/>
              </w:rPr>
            </w:pPr>
            <w:r>
              <w:rPr>
                <w:rFonts w:ascii="Times New Roman" w:hAnsi="Times New Roman"/>
              </w:rPr>
              <w:t>Électricité pour éclairage (2 kVA), gaz pour cuisine et production d'eau chaude.</w:t>
            </w:r>
          </w:p>
        </w:tc>
        <w:tc>
          <w:tcPr>
            <w:tcW w:w="1134" w:type="dxa"/>
          </w:tcPr>
          <w:p w:rsidR="00824923" w:rsidRPr="001F1343" w:rsidRDefault="00CA7034" w:rsidP="00FB5C00">
            <w:pPr>
              <w:jc w:val="center"/>
              <w:rPr>
                <w:rFonts w:ascii="Times New Roman" w:hAnsi="Times New Roman"/>
                <w:szCs w:val="22"/>
              </w:rPr>
            </w:pPr>
            <w:r>
              <w:rPr>
                <w:rFonts w:ascii="Times New Roman" w:hAnsi="Times New Roman"/>
              </w:rPr>
              <w:t>12 000</w:t>
            </w:r>
          </w:p>
        </w:tc>
        <w:tc>
          <w:tcPr>
            <w:tcW w:w="992" w:type="dxa"/>
          </w:tcPr>
          <w:p w:rsidR="00824923" w:rsidRPr="001F1343" w:rsidRDefault="00CA7034" w:rsidP="00FB5C00">
            <w:pPr>
              <w:pStyle w:val="Paragraphedeliste"/>
              <w:ind w:left="-66" w:hanging="4"/>
              <w:jc w:val="center"/>
              <w:rPr>
                <w:rFonts w:ascii="Times New Roman" w:hAnsi="Times New Roman"/>
                <w:szCs w:val="22"/>
              </w:rPr>
            </w:pPr>
            <w:r>
              <w:rPr>
                <w:rFonts w:ascii="Times New Roman" w:hAnsi="Times New Roman"/>
              </w:rPr>
              <w:t>Engrais à la vente.</w:t>
            </w:r>
          </w:p>
        </w:tc>
        <w:tc>
          <w:tcPr>
            <w:tcW w:w="1645" w:type="dxa"/>
          </w:tcPr>
          <w:p w:rsidR="00824923" w:rsidRPr="001F1343" w:rsidRDefault="00CA7034" w:rsidP="00FB5C00">
            <w:pPr>
              <w:pStyle w:val="Paragraphedeliste"/>
              <w:ind w:left="0"/>
              <w:rPr>
                <w:rFonts w:ascii="Times New Roman" w:hAnsi="Times New Roman"/>
                <w:szCs w:val="22"/>
              </w:rPr>
            </w:pPr>
            <w:r>
              <w:rPr>
                <w:rFonts w:ascii="Times New Roman" w:hAnsi="Times New Roman"/>
              </w:rPr>
              <w:t>20 à l'Institut et 200 dans les environs.</w:t>
            </w:r>
            <w:r w:rsidR="000E6CB0">
              <w:rPr>
                <w:rFonts w:ascii="Times New Roman" w:hAnsi="Times New Roman"/>
              </w:rPr>
              <w:t xml:space="preserve"> </w:t>
            </w:r>
          </w:p>
        </w:tc>
        <w:tc>
          <w:tcPr>
            <w:tcW w:w="1545" w:type="dxa"/>
          </w:tcPr>
          <w:p w:rsidR="00824923" w:rsidRPr="001F1343" w:rsidRDefault="00CA7034" w:rsidP="00FB5C00">
            <w:pPr>
              <w:pStyle w:val="Paragraphedeliste"/>
              <w:ind w:left="136" w:hanging="220"/>
              <w:jc w:val="center"/>
              <w:rPr>
                <w:rFonts w:ascii="Times New Roman" w:hAnsi="Times New Roman"/>
                <w:szCs w:val="22"/>
              </w:rPr>
            </w:pPr>
            <w:r>
              <w:rPr>
                <w:rFonts w:ascii="Times New Roman" w:hAnsi="Times New Roman"/>
              </w:rPr>
              <w:t>400</w:t>
            </w:r>
          </w:p>
        </w:tc>
      </w:tr>
      <w:tr w:rsidR="00824923" w:rsidRPr="001F1343" w:rsidTr="00FB5C00">
        <w:trPr>
          <w:trHeight w:val="284"/>
        </w:trPr>
        <w:tc>
          <w:tcPr>
            <w:tcW w:w="597" w:type="dxa"/>
          </w:tcPr>
          <w:p w:rsidR="00824923" w:rsidRPr="001F1343" w:rsidRDefault="00824923" w:rsidP="00FB5C00">
            <w:pPr>
              <w:pStyle w:val="Paragraphedeliste"/>
              <w:ind w:left="360"/>
              <w:rPr>
                <w:rFonts w:ascii="Times New Roman" w:hAnsi="Times New Roman"/>
                <w:szCs w:val="22"/>
              </w:rPr>
            </w:pPr>
          </w:p>
        </w:tc>
        <w:tc>
          <w:tcPr>
            <w:tcW w:w="1701"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TOTAL</w:t>
            </w:r>
          </w:p>
        </w:tc>
        <w:tc>
          <w:tcPr>
            <w:tcW w:w="1843" w:type="dxa"/>
          </w:tcPr>
          <w:p w:rsidR="00824923" w:rsidRPr="001F1343" w:rsidRDefault="00CA7034" w:rsidP="00FB5C00">
            <w:pPr>
              <w:pStyle w:val="Paragraphedeliste"/>
              <w:ind w:left="360"/>
              <w:rPr>
                <w:rFonts w:ascii="Times New Roman" w:hAnsi="Times New Roman"/>
                <w:szCs w:val="22"/>
              </w:rPr>
            </w:pPr>
            <w:r>
              <w:rPr>
                <w:rFonts w:ascii="Times New Roman" w:hAnsi="Times New Roman"/>
              </w:rPr>
              <w:t>10</w:t>
            </w:r>
          </w:p>
        </w:tc>
        <w:tc>
          <w:tcPr>
            <w:tcW w:w="1417" w:type="dxa"/>
          </w:tcPr>
          <w:p w:rsidR="00824923" w:rsidRPr="001F1343" w:rsidRDefault="00824923" w:rsidP="00FB5C00">
            <w:pPr>
              <w:pStyle w:val="Paragraphedeliste"/>
              <w:ind w:left="360"/>
              <w:rPr>
                <w:rFonts w:ascii="Times New Roman" w:hAnsi="Times New Roman"/>
                <w:szCs w:val="22"/>
              </w:rPr>
            </w:pPr>
          </w:p>
        </w:tc>
        <w:tc>
          <w:tcPr>
            <w:tcW w:w="3402" w:type="dxa"/>
          </w:tcPr>
          <w:p w:rsidR="00824923" w:rsidRPr="001F1343" w:rsidRDefault="00824923" w:rsidP="00FB5C00">
            <w:pPr>
              <w:pStyle w:val="Paragraphedeliste"/>
              <w:ind w:left="360"/>
              <w:rPr>
                <w:rFonts w:ascii="Times New Roman" w:hAnsi="Times New Roman"/>
                <w:szCs w:val="22"/>
              </w:rPr>
            </w:pPr>
          </w:p>
        </w:tc>
        <w:tc>
          <w:tcPr>
            <w:tcW w:w="1134" w:type="dxa"/>
          </w:tcPr>
          <w:p w:rsidR="00824923" w:rsidRPr="001F1343" w:rsidRDefault="00824923" w:rsidP="00FB5C00">
            <w:pPr>
              <w:pStyle w:val="Paragraphedeliste"/>
              <w:ind w:left="360"/>
              <w:rPr>
                <w:rFonts w:ascii="Times New Roman" w:hAnsi="Times New Roman"/>
                <w:szCs w:val="22"/>
              </w:rPr>
            </w:pPr>
          </w:p>
        </w:tc>
        <w:tc>
          <w:tcPr>
            <w:tcW w:w="992" w:type="dxa"/>
          </w:tcPr>
          <w:p w:rsidR="00824923" w:rsidRPr="001F1343" w:rsidRDefault="00824923" w:rsidP="00FB5C00">
            <w:pPr>
              <w:pStyle w:val="Paragraphedeliste"/>
              <w:ind w:left="360"/>
              <w:rPr>
                <w:rFonts w:ascii="Times New Roman" w:hAnsi="Times New Roman"/>
                <w:szCs w:val="22"/>
              </w:rPr>
            </w:pPr>
          </w:p>
        </w:tc>
        <w:tc>
          <w:tcPr>
            <w:tcW w:w="1645" w:type="dxa"/>
          </w:tcPr>
          <w:p w:rsidR="00824923" w:rsidRPr="001F1343" w:rsidRDefault="00824923" w:rsidP="00FB5C00">
            <w:pPr>
              <w:pStyle w:val="Paragraphedeliste"/>
              <w:ind w:left="360"/>
              <w:rPr>
                <w:rFonts w:ascii="Times New Roman" w:hAnsi="Times New Roman"/>
                <w:szCs w:val="22"/>
              </w:rPr>
            </w:pPr>
          </w:p>
        </w:tc>
        <w:tc>
          <w:tcPr>
            <w:tcW w:w="1545" w:type="dxa"/>
          </w:tcPr>
          <w:p w:rsidR="00824923" w:rsidRPr="001F1343" w:rsidRDefault="00824923" w:rsidP="00FB5C00">
            <w:pPr>
              <w:pStyle w:val="Paragraphedeliste"/>
              <w:ind w:left="360"/>
              <w:rPr>
                <w:rFonts w:ascii="Times New Roman" w:hAnsi="Times New Roman"/>
                <w:szCs w:val="22"/>
              </w:rPr>
            </w:pPr>
          </w:p>
        </w:tc>
      </w:tr>
    </w:tbl>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0F2094" w:rsidRPr="001F1343" w:rsidRDefault="000F2094" w:rsidP="006E0A04">
      <w:pPr>
        <w:autoSpaceDE w:val="0"/>
        <w:autoSpaceDN w:val="0"/>
        <w:adjustRightInd w:val="0"/>
        <w:ind w:left="-450" w:right="-540"/>
        <w:rPr>
          <w:rFonts w:ascii="Times New Roman" w:hAnsi="Times New Roman"/>
          <w:b/>
          <w:szCs w:val="22"/>
        </w:rPr>
      </w:pPr>
    </w:p>
    <w:p w:rsidR="00CA7034" w:rsidRDefault="00CA7034" w:rsidP="006E0A04">
      <w:pPr>
        <w:autoSpaceDE w:val="0"/>
        <w:autoSpaceDN w:val="0"/>
        <w:adjustRightInd w:val="0"/>
        <w:ind w:left="-450" w:right="-540"/>
        <w:sectPr w:rsidR="00CA7034" w:rsidSect="000F2094">
          <w:pgSz w:w="15840" w:h="12240" w:orient="landscape" w:code="1"/>
          <w:pgMar w:top="1440" w:right="1440" w:bottom="1411" w:left="1440" w:header="706" w:footer="706" w:gutter="0"/>
          <w:cols w:space="708"/>
          <w:docGrid w:linePitch="360"/>
        </w:sectPr>
      </w:pPr>
    </w:p>
    <w:p w:rsidR="006E0A04" w:rsidRPr="001F1343" w:rsidRDefault="00CA7034" w:rsidP="006E0A04">
      <w:pPr>
        <w:autoSpaceDE w:val="0"/>
        <w:autoSpaceDN w:val="0"/>
        <w:adjustRightInd w:val="0"/>
        <w:ind w:left="-450" w:right="-540"/>
        <w:rPr>
          <w:rFonts w:ascii="Times New Roman" w:hAnsi="Times New Roman"/>
          <w:b/>
          <w:szCs w:val="22"/>
        </w:rPr>
      </w:pPr>
      <w:r>
        <w:rPr>
          <w:rFonts w:ascii="Times New Roman" w:hAnsi="Times New Roman"/>
          <w:b/>
        </w:rPr>
        <w:lastRenderedPageBreak/>
        <w:t>Mécanisme de soutien financier (FSM)</w:t>
      </w:r>
    </w:p>
    <w:p w:rsidR="003A3152" w:rsidRPr="001F1343" w:rsidRDefault="003A3152" w:rsidP="006E0A04">
      <w:pPr>
        <w:autoSpaceDE w:val="0"/>
        <w:autoSpaceDN w:val="0"/>
        <w:adjustRightInd w:val="0"/>
        <w:ind w:left="-450" w:right="-540"/>
        <w:rPr>
          <w:rFonts w:ascii="Times New Roman" w:hAnsi="Times New Roman"/>
          <w:szCs w:val="22"/>
        </w:rPr>
      </w:pPr>
    </w:p>
    <w:p w:rsidR="006E0A04"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Les investissements réalisés dans les projets d'énergie renouvelable doivent bien souvent être soutenus par des mesures incitatives financières, tout du moins au début, non seulement car de tels projets sont généralement lourds en investissements en termes de coûts initiaux, mais également car ils sont dans certains cas considérés comme des investissements plus risqués en raison de l'incertitude liée aux technologies ou aux ressources. La mesure dans laquelle les facteurs relatifs aux coûts et aux risques s'appliquent varie selon les technologies et la situation géographique</w:t>
      </w:r>
      <w:r w:rsidR="00442D9D">
        <w:rPr>
          <w:rFonts w:ascii="Times New Roman" w:hAnsi="Times New Roman"/>
        </w:rPr>
        <w:t>,</w:t>
      </w:r>
      <w:r>
        <w:rPr>
          <w:rFonts w:ascii="Times New Roman" w:hAnsi="Times New Roman"/>
        </w:rPr>
        <w:t xml:space="preserve"> et les promoteurs de projets attendent une certaine forme de soutien financier/partage des risques compensant le fait qu'ils aient pris davantage de risques au niveau financier de par la méconnaissance des technologies proposées. Par conséquent, afin d'appuyer l'adoption et la mise en œuvre du biogaz en Guinée, le projet mettra en place un Mécanisme de soutien financier (</w:t>
      </w:r>
      <w:r w:rsidR="00E301A5">
        <w:rPr>
          <w:rFonts w:ascii="Times New Roman" w:hAnsi="Times New Roman"/>
        </w:rPr>
        <w:t>subvention d’</w:t>
      </w:r>
      <w:r>
        <w:rPr>
          <w:rFonts w:ascii="Times New Roman" w:hAnsi="Times New Roman"/>
        </w:rPr>
        <w:t xml:space="preserve">investissement) et attribuera un fonds commun FEM-PNUD avec un capital de départ de 1,2 million </w:t>
      </w:r>
      <w:r w:rsidR="00E301A5">
        <w:rPr>
          <w:rFonts w:ascii="Times New Roman" w:hAnsi="Times New Roman"/>
        </w:rPr>
        <w:t>d’USD</w:t>
      </w:r>
      <w:r>
        <w:rPr>
          <w:rFonts w:ascii="Times New Roman" w:hAnsi="Times New Roman"/>
        </w:rPr>
        <w:t xml:space="preserve">, à savoir 1,0 million </w:t>
      </w:r>
      <w:r w:rsidR="00E301A5">
        <w:rPr>
          <w:rFonts w:ascii="Times New Roman" w:hAnsi="Times New Roman"/>
        </w:rPr>
        <w:t>d’USD</w:t>
      </w:r>
      <w:r>
        <w:rPr>
          <w:rFonts w:ascii="Times New Roman" w:hAnsi="Times New Roman"/>
        </w:rPr>
        <w:t xml:space="preserve"> du FEM et 0,2 million </w:t>
      </w:r>
      <w:r w:rsidR="00E301A5">
        <w:rPr>
          <w:rFonts w:ascii="Times New Roman" w:hAnsi="Times New Roman"/>
        </w:rPr>
        <w:t>d’USD</w:t>
      </w:r>
      <w:r>
        <w:rPr>
          <w:rFonts w:ascii="Times New Roman" w:hAnsi="Times New Roman"/>
        </w:rPr>
        <w:t xml:space="preserve"> du PNUD. Ce montant </w:t>
      </w:r>
      <w:r w:rsidR="00E301A5">
        <w:rPr>
          <w:rFonts w:ascii="Times New Roman" w:hAnsi="Times New Roman"/>
        </w:rPr>
        <w:t>devrait</w:t>
      </w:r>
      <w:r>
        <w:rPr>
          <w:rFonts w:ascii="Times New Roman" w:hAnsi="Times New Roman"/>
        </w:rPr>
        <w:t xml:space="preserve"> être suffisant </w:t>
      </w:r>
      <w:r w:rsidR="00E301A5">
        <w:rPr>
          <w:rFonts w:ascii="Times New Roman" w:hAnsi="Times New Roman"/>
        </w:rPr>
        <w:t>pour</w:t>
      </w:r>
      <w:r>
        <w:rPr>
          <w:rFonts w:ascii="Times New Roman" w:hAnsi="Times New Roman"/>
        </w:rPr>
        <w:t xml:space="preserve"> prendre en charge le soutien et la promotion du programme pendant les 4 années du projet. L'Encadré 1 ci-dessous donne un aperçu de la façon dont le FSM sera défini et fonctionnera.</w:t>
      </w:r>
    </w:p>
    <w:p w:rsidR="003A3152" w:rsidRPr="001F1343" w:rsidRDefault="003A3152" w:rsidP="006E0A04">
      <w:pPr>
        <w:autoSpaceDE w:val="0"/>
        <w:autoSpaceDN w:val="0"/>
        <w:adjustRightInd w:val="0"/>
        <w:ind w:left="-450" w:right="-540"/>
        <w:rPr>
          <w:rFonts w:ascii="Times New Roman" w:hAnsi="Times New Roman"/>
          <w:szCs w:val="22"/>
        </w:rPr>
      </w:pPr>
    </w:p>
    <w:p w:rsidR="006E0A04"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 xml:space="preserve">Le but de cette </w:t>
      </w:r>
      <w:r w:rsidR="00E301A5">
        <w:rPr>
          <w:rFonts w:ascii="Times New Roman" w:hAnsi="Times New Roman"/>
        </w:rPr>
        <w:t>subvention d’investissement</w:t>
      </w:r>
      <w:r>
        <w:rPr>
          <w:rFonts w:ascii="Times New Roman" w:hAnsi="Times New Roman"/>
        </w:rPr>
        <w:t xml:space="preserve"> pour les ménages est double : premièrement, elle est conçue afin de lancer le marché du biogaz pour la cuisine et l'éclairage </w:t>
      </w:r>
      <w:r w:rsidR="00E301A5">
        <w:rPr>
          <w:rFonts w:ascii="Times New Roman" w:hAnsi="Times New Roman"/>
        </w:rPr>
        <w:t>avec</w:t>
      </w:r>
      <w:r>
        <w:rPr>
          <w:rFonts w:ascii="Times New Roman" w:hAnsi="Times New Roman"/>
        </w:rPr>
        <w:t xml:space="preserve"> un montant d'emprunt réduit, ce qui permet d'obtenir une réduction du montant total des intérêts dont ils auraient dû s'acquitter. Au fur et à mesure de l'expérience </w:t>
      </w:r>
      <w:r w:rsidR="00E301A5">
        <w:rPr>
          <w:rFonts w:ascii="Times New Roman" w:hAnsi="Times New Roman"/>
        </w:rPr>
        <w:t>acquise dans le cadre du</w:t>
      </w:r>
      <w:r>
        <w:rPr>
          <w:rFonts w:ascii="Times New Roman" w:hAnsi="Times New Roman"/>
        </w:rPr>
        <w:t xml:space="preserve"> projet et de la baisse des coûts de transaction, la subvention/prime accordée aux ménages individuels diminuera jusqu'au moment où assez d'expérience aura été accumulée afin que d'autres ménages, suffisamment en confiance, puissent s'engager dans de nouveaux projets de biogaz uniquement sur la base de leur capital de départ et d'un prêt. À ce moment-là, la subvention sera alors totalement supprimée. Le second objectif consiste, dans un premier temps, à minimiser tout risque potentiel lié à l'octroi de prêts par les IMF pour des digesteurs à biogaz ménagers, en répercutant les risques de pertes de capitaux sur </w:t>
      </w:r>
      <w:r w:rsidR="00E301A5">
        <w:rPr>
          <w:rFonts w:ascii="Times New Roman" w:hAnsi="Times New Roman"/>
        </w:rPr>
        <w:t>la subvention à</w:t>
      </w:r>
      <w:r>
        <w:rPr>
          <w:rFonts w:ascii="Times New Roman" w:hAnsi="Times New Roman"/>
        </w:rPr>
        <w:t xml:space="preserve"> l'investissement. Fortes d'une plus grande expérience en matière de prêts et de remboursements, les IMF seront suffisamment confiantes pour continuer à accorder de nouveaux prêts, même en l'absence de toute subvention, faisant ainsi des prêts pour digesteurs à biogaz un produit </w:t>
      </w:r>
      <w:r w:rsidR="00E301A5">
        <w:rPr>
          <w:rFonts w:ascii="Times New Roman" w:hAnsi="Times New Roman"/>
        </w:rPr>
        <w:t>de détail</w:t>
      </w:r>
      <w:r>
        <w:rPr>
          <w:rFonts w:ascii="Times New Roman" w:hAnsi="Times New Roman"/>
        </w:rPr>
        <w:t xml:space="preserve"> régulier dans le cadre de leurs opérations de prêt.</w:t>
      </w:r>
    </w:p>
    <w:p w:rsidR="003A3152" w:rsidRPr="001F1343" w:rsidRDefault="003A3152" w:rsidP="006E0A04">
      <w:pPr>
        <w:autoSpaceDE w:val="0"/>
        <w:autoSpaceDN w:val="0"/>
        <w:adjustRightInd w:val="0"/>
        <w:ind w:left="-450" w:right="-540"/>
        <w:rPr>
          <w:rFonts w:ascii="Times New Roman" w:hAnsi="Times New Roman"/>
          <w:szCs w:val="22"/>
        </w:rPr>
      </w:pPr>
    </w:p>
    <w:p w:rsidR="006E0A04"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 xml:space="preserve">Pour les investisseurs commerciaux/institutionnels en technologies à base de biogaz, le FSM appuiera la préparation d'études de faisabilité/plans de développement ainsi que des investissements partiels dans des projets de biogaz. </w:t>
      </w:r>
      <w:r w:rsidR="00E301A5">
        <w:rPr>
          <w:rFonts w:ascii="Times New Roman" w:hAnsi="Times New Roman"/>
        </w:rPr>
        <w:t>Une</w:t>
      </w:r>
      <w:r>
        <w:rPr>
          <w:rFonts w:ascii="Times New Roman" w:hAnsi="Times New Roman"/>
        </w:rPr>
        <w:t xml:space="preserve"> subvention </w:t>
      </w:r>
      <w:r w:rsidR="00E301A5">
        <w:rPr>
          <w:rFonts w:ascii="Times New Roman" w:hAnsi="Times New Roman"/>
        </w:rPr>
        <w:t>sera octroyée</w:t>
      </w:r>
      <w:r>
        <w:rPr>
          <w:rFonts w:ascii="Times New Roman" w:hAnsi="Times New Roman"/>
        </w:rPr>
        <w:t xml:space="preserve"> </w:t>
      </w:r>
      <w:r w:rsidR="00E301A5">
        <w:rPr>
          <w:rFonts w:ascii="Times New Roman" w:hAnsi="Times New Roman"/>
        </w:rPr>
        <w:t>aux promoteurs de projets éligibles</w:t>
      </w:r>
      <w:r>
        <w:rPr>
          <w:rFonts w:ascii="Times New Roman" w:hAnsi="Times New Roman"/>
        </w:rPr>
        <w:t xml:space="preserve"> d'un montant correspondant à 50 % de chacun des coûts engagés pour l'étude de faisabilité et la </w:t>
      </w:r>
      <w:r w:rsidR="00E301A5">
        <w:rPr>
          <w:rFonts w:ascii="Times New Roman" w:hAnsi="Times New Roman"/>
        </w:rPr>
        <w:t>subvention à</w:t>
      </w:r>
      <w:r>
        <w:rPr>
          <w:rFonts w:ascii="Times New Roman" w:hAnsi="Times New Roman"/>
        </w:rPr>
        <w:t xml:space="preserve"> l'investissement, pour un montant maximum de 50 000 $ par projet attribué. Les promoteurs de projets seront ainsi incités à envisager l'utilisation de déchets générés par leurs opérations commerciales afin de satisfaire, quoique partiellement, leurs exigences énergétiques à partir de combustibles non fossiles. Bien que ces fonds soient réservés au promoteur, ils seront versés directement aux consultants/groupe de consultants chargés de préparer les études de faisabilité/plans de développement et de mettre en œuvre les travaux, et des versements en tranches seront effectués conformément à un ensemble de critères clairement définis. </w:t>
      </w:r>
    </w:p>
    <w:p w:rsidR="003A3152" w:rsidRPr="001F1343" w:rsidRDefault="003A3152" w:rsidP="006E0A04">
      <w:pPr>
        <w:autoSpaceDE w:val="0"/>
        <w:autoSpaceDN w:val="0"/>
        <w:adjustRightInd w:val="0"/>
        <w:ind w:left="-450" w:right="-540"/>
        <w:rPr>
          <w:rFonts w:ascii="Times New Roman" w:hAnsi="Times New Roman"/>
          <w:szCs w:val="22"/>
        </w:rPr>
      </w:pPr>
    </w:p>
    <w:p w:rsidR="006E0A04"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Avant l'attribution de cette subvention, la direction du FSM (voir ci-dessous) peut demander au promoteur du projet/secteur privé de prouver qu'il est en mesure d'apporter 10 à 15 % de fonds propres dans l'hypothèse où ses études de faisabilité/plans de développement permettraient que sa candidature soit examinée dans une optique de financement. Le versement de cette subvention sera réalisé conformément aux règles et règlements du PNUD. Une évaluation des capacités de l'ANAMIF sera menée avant et régulièrement lors de la mise en œuvre du FSM.</w:t>
      </w:r>
    </w:p>
    <w:p w:rsidR="003A3152" w:rsidRPr="001F1343" w:rsidRDefault="003A3152" w:rsidP="006E0A04">
      <w:pPr>
        <w:autoSpaceDE w:val="0"/>
        <w:autoSpaceDN w:val="0"/>
        <w:adjustRightInd w:val="0"/>
        <w:ind w:left="-450" w:right="-540"/>
        <w:rPr>
          <w:rFonts w:ascii="Times New Roman" w:hAnsi="Times New Roman"/>
          <w:szCs w:val="22"/>
        </w:rPr>
      </w:pPr>
    </w:p>
    <w:p w:rsidR="006E0A04"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 xml:space="preserve">Comme indiqué précédemment, l'objectif de la prime à l'investissement est de </w:t>
      </w:r>
      <w:r w:rsidR="003D6683">
        <w:rPr>
          <w:rFonts w:ascii="Times New Roman" w:hAnsi="Times New Roman"/>
        </w:rPr>
        <w:t xml:space="preserve">servir de tremplin au </w:t>
      </w:r>
      <w:r>
        <w:rPr>
          <w:rFonts w:ascii="Times New Roman" w:hAnsi="Times New Roman"/>
        </w:rPr>
        <w:t xml:space="preserve">marché et </w:t>
      </w:r>
      <w:r w:rsidR="003D6683">
        <w:rPr>
          <w:rFonts w:ascii="Times New Roman" w:hAnsi="Times New Roman"/>
        </w:rPr>
        <w:t>de subventionner les</w:t>
      </w:r>
      <w:r>
        <w:rPr>
          <w:rFonts w:ascii="Times New Roman" w:hAnsi="Times New Roman"/>
        </w:rPr>
        <w:t xml:space="preserve"> investissements initiaux requis par le promoteur et, </w:t>
      </w:r>
      <w:r w:rsidR="003D6683">
        <w:rPr>
          <w:rFonts w:ascii="Times New Roman" w:hAnsi="Times New Roman"/>
        </w:rPr>
        <w:t>ainsi</w:t>
      </w:r>
      <w:r>
        <w:rPr>
          <w:rFonts w:ascii="Times New Roman" w:hAnsi="Times New Roman"/>
        </w:rPr>
        <w:t>, de réduire le montant total des intérêts devant être versé</w:t>
      </w:r>
      <w:r w:rsidR="003D6683">
        <w:rPr>
          <w:rFonts w:ascii="Times New Roman" w:hAnsi="Times New Roman"/>
        </w:rPr>
        <w:t>s</w:t>
      </w:r>
      <w:r>
        <w:rPr>
          <w:rFonts w:ascii="Times New Roman" w:hAnsi="Times New Roman"/>
        </w:rPr>
        <w:t xml:space="preserve">. Lors de discussions avec les promoteurs de projets, cette question sera mise en exergue et le site Internet indiquera également clairement que la subvention est spécialement destinée à réduire les coûts de transaction </w:t>
      </w:r>
      <w:r>
        <w:rPr>
          <w:rFonts w:ascii="Times New Roman" w:hAnsi="Times New Roman"/>
        </w:rPr>
        <w:lastRenderedPageBreak/>
        <w:t xml:space="preserve">au cours des premières années du projet. Cela, espérons-le, sensibilisera les promoteurs de projets au fait qu'aucune autre subvention ne sera disponible après la réalisation du projet, et également qu'aucune autre subvention ne sera nécessaire afin de leur permettre d'obtenir un retour sur investissement raisonnable. </w:t>
      </w:r>
    </w:p>
    <w:p w:rsidR="003A3152" w:rsidRPr="001F1343" w:rsidRDefault="003A3152" w:rsidP="006E0A04">
      <w:pPr>
        <w:autoSpaceDE w:val="0"/>
        <w:autoSpaceDN w:val="0"/>
        <w:adjustRightInd w:val="0"/>
        <w:ind w:left="-450" w:right="-540"/>
        <w:rPr>
          <w:rFonts w:ascii="Times New Roman" w:hAnsi="Times New Roman"/>
          <w:szCs w:val="22"/>
        </w:rPr>
      </w:pPr>
    </w:p>
    <w:p w:rsidR="001C5E81" w:rsidRPr="001F1343" w:rsidRDefault="00CA7034" w:rsidP="001C5E81">
      <w:pPr>
        <w:autoSpaceDE w:val="0"/>
        <w:autoSpaceDN w:val="0"/>
        <w:adjustRightInd w:val="0"/>
        <w:ind w:left="-450" w:right="-540"/>
        <w:rPr>
          <w:rFonts w:ascii="Times New Roman" w:hAnsi="Times New Roman"/>
          <w:szCs w:val="22"/>
        </w:rPr>
      </w:pPr>
      <w:r>
        <w:rPr>
          <w:rFonts w:ascii="Times New Roman" w:hAnsi="Times New Roman"/>
        </w:rPr>
        <w:t xml:space="preserve">Bien évidemment, se pose la question fondamentale de la durabilité des ressources disponibles en vertu du FSM pour ce soutien financier aux digesteurs à biogaz à petite et grande échelle au-delà des 4 ans de vie du projet. Ni le projet ni le gouvernement ne souhaitent </w:t>
      </w:r>
      <w:r w:rsidR="003D6683">
        <w:rPr>
          <w:rFonts w:ascii="Times New Roman" w:hAnsi="Times New Roman"/>
        </w:rPr>
        <w:t>qu’un moyen</w:t>
      </w:r>
      <w:r>
        <w:rPr>
          <w:rFonts w:ascii="Times New Roman" w:hAnsi="Times New Roman"/>
        </w:rPr>
        <w:t xml:space="preserve"> de cette importance</w:t>
      </w:r>
      <w:r w:rsidR="003D6683">
        <w:rPr>
          <w:rFonts w:ascii="Times New Roman" w:hAnsi="Times New Roman"/>
        </w:rPr>
        <w:t xml:space="preserve"> de réduction des</w:t>
      </w:r>
      <w:r>
        <w:rPr>
          <w:rFonts w:ascii="Times New Roman" w:hAnsi="Times New Roman"/>
        </w:rPr>
        <w:t xml:space="preserve"> importations nationales de combustibles fossiles en ayant recours aux ressources en biomasse disponibles au niveau local, ne soit pas durable.</w:t>
      </w:r>
      <w:r w:rsidR="000E6CB0">
        <w:rPr>
          <w:rFonts w:ascii="Times New Roman" w:hAnsi="Times New Roman"/>
        </w:rPr>
        <w:t xml:space="preserve"> </w:t>
      </w:r>
      <w:r>
        <w:rPr>
          <w:rFonts w:ascii="Times New Roman" w:hAnsi="Times New Roman"/>
        </w:rPr>
        <w:t xml:space="preserve">En fait, le projet espère que l'expérience accumulée via la mise en place du FSM aura un effet boule de neige à l'égard des autres donateurs (et du gouvernement) </w:t>
      </w:r>
      <w:r w:rsidR="003D6683">
        <w:rPr>
          <w:rFonts w:ascii="Times New Roman" w:hAnsi="Times New Roman"/>
        </w:rPr>
        <w:t xml:space="preserve">et que l’on ne </w:t>
      </w:r>
      <w:r>
        <w:rPr>
          <w:rFonts w:ascii="Times New Roman" w:hAnsi="Times New Roman"/>
        </w:rPr>
        <w:t>s'arrêter</w:t>
      </w:r>
      <w:r w:rsidR="003D6683">
        <w:rPr>
          <w:rFonts w:ascii="Times New Roman" w:hAnsi="Times New Roman"/>
        </w:rPr>
        <w:t>a pas</w:t>
      </w:r>
      <w:r>
        <w:rPr>
          <w:rFonts w:ascii="Times New Roman" w:hAnsi="Times New Roman"/>
        </w:rPr>
        <w:t xml:space="preserve"> aux 1,2 million </w:t>
      </w:r>
      <w:r w:rsidR="003D6683">
        <w:rPr>
          <w:rFonts w:ascii="Times New Roman" w:hAnsi="Times New Roman"/>
        </w:rPr>
        <w:t>de dollars</w:t>
      </w:r>
      <w:r>
        <w:rPr>
          <w:rFonts w:ascii="Times New Roman" w:hAnsi="Times New Roman"/>
        </w:rPr>
        <w:t xml:space="preserve"> (1,0 million </w:t>
      </w:r>
      <w:r w:rsidR="003D6683">
        <w:rPr>
          <w:rFonts w:ascii="Times New Roman" w:hAnsi="Times New Roman"/>
        </w:rPr>
        <w:t>d’USD</w:t>
      </w:r>
      <w:r>
        <w:rPr>
          <w:rFonts w:ascii="Times New Roman" w:hAnsi="Times New Roman"/>
        </w:rPr>
        <w:t xml:space="preserve"> du FEM et 0,2 million </w:t>
      </w:r>
      <w:r w:rsidR="003D6683">
        <w:rPr>
          <w:rFonts w:ascii="Times New Roman" w:hAnsi="Times New Roman"/>
        </w:rPr>
        <w:t>d’USD</w:t>
      </w:r>
      <w:r>
        <w:rPr>
          <w:rFonts w:ascii="Times New Roman" w:hAnsi="Times New Roman"/>
        </w:rPr>
        <w:t xml:space="preserve"> du PNUD) </w:t>
      </w:r>
      <w:r w:rsidR="003D6683">
        <w:rPr>
          <w:rFonts w:ascii="Times New Roman" w:hAnsi="Times New Roman"/>
        </w:rPr>
        <w:t>pour atteindre</w:t>
      </w:r>
      <w:r>
        <w:rPr>
          <w:rFonts w:ascii="Times New Roman" w:hAnsi="Times New Roman"/>
        </w:rPr>
        <w:t xml:space="preserve"> un total de 5 millions </w:t>
      </w:r>
      <w:r w:rsidR="003D6683">
        <w:rPr>
          <w:rFonts w:ascii="Times New Roman" w:hAnsi="Times New Roman"/>
        </w:rPr>
        <w:t>d’USD</w:t>
      </w:r>
      <w:r>
        <w:rPr>
          <w:rFonts w:ascii="Times New Roman" w:hAnsi="Times New Roman"/>
        </w:rPr>
        <w:t xml:space="preserve">, de sorte que le pays puisse bénéficier d'investissements en technologies à base de biogaz durables. Ainsi, à toutes fins pratiques, le FSM ne devrait pas être un mécanisme éphémère ; </w:t>
      </w:r>
      <w:r w:rsidR="003D6683">
        <w:rPr>
          <w:rFonts w:ascii="Times New Roman" w:hAnsi="Times New Roman"/>
        </w:rPr>
        <w:t xml:space="preserve">plutôt, </w:t>
      </w:r>
      <w:r>
        <w:rPr>
          <w:rFonts w:ascii="Times New Roman" w:hAnsi="Times New Roman"/>
        </w:rPr>
        <w:t xml:space="preserve">il </w:t>
      </w:r>
      <w:r w:rsidR="003D6683">
        <w:rPr>
          <w:rFonts w:ascii="Times New Roman" w:hAnsi="Times New Roman"/>
        </w:rPr>
        <w:t>doit rester en vigueur</w:t>
      </w:r>
      <w:r>
        <w:rPr>
          <w:rFonts w:ascii="Times New Roman" w:hAnsi="Times New Roman"/>
        </w:rPr>
        <w:t xml:space="preserve"> jusqu'</w:t>
      </w:r>
      <w:r w:rsidR="003D6683">
        <w:rPr>
          <w:rFonts w:ascii="Times New Roman" w:hAnsi="Times New Roman"/>
        </w:rPr>
        <w:t xml:space="preserve">à ce que les promoteurs de projets soient suffisamment </w:t>
      </w:r>
      <w:r>
        <w:rPr>
          <w:rFonts w:ascii="Times New Roman" w:hAnsi="Times New Roman"/>
        </w:rPr>
        <w:t>confian</w:t>
      </w:r>
      <w:r w:rsidR="003D6683">
        <w:rPr>
          <w:rFonts w:ascii="Times New Roman" w:hAnsi="Times New Roman"/>
        </w:rPr>
        <w:t xml:space="preserve">ts </w:t>
      </w:r>
      <w:r>
        <w:rPr>
          <w:rFonts w:ascii="Times New Roman" w:hAnsi="Times New Roman"/>
        </w:rPr>
        <w:t>que le risque d'investir dans des digesteurs à biogaz aura été minimisé et/ou éliminé</w:t>
      </w:r>
      <w:r w:rsidR="003D6683">
        <w:rPr>
          <w:rFonts w:ascii="Times New Roman" w:hAnsi="Times New Roman"/>
        </w:rPr>
        <w:t xml:space="preserve"> par le projet</w:t>
      </w:r>
      <w:r>
        <w:rPr>
          <w:rFonts w:ascii="Times New Roman" w:hAnsi="Times New Roman"/>
        </w:rPr>
        <w:t xml:space="preserve">. </w:t>
      </w:r>
      <w:r w:rsidR="003D6683">
        <w:rPr>
          <w:rFonts w:ascii="Times New Roman" w:hAnsi="Times New Roman"/>
        </w:rPr>
        <w:t>Le</w:t>
      </w:r>
      <w:r>
        <w:rPr>
          <w:rFonts w:ascii="Times New Roman" w:hAnsi="Times New Roman"/>
        </w:rPr>
        <w:t xml:space="preserve"> PNUD tiendra </w:t>
      </w:r>
      <w:r w:rsidR="003D6683">
        <w:rPr>
          <w:rFonts w:ascii="Times New Roman" w:hAnsi="Times New Roman"/>
        </w:rPr>
        <w:t xml:space="preserve">alors </w:t>
      </w:r>
      <w:r>
        <w:rPr>
          <w:rFonts w:ascii="Times New Roman" w:hAnsi="Times New Roman"/>
        </w:rPr>
        <w:t>des discussions avec les donateurs afin de déterminer la façon dont les fonds restants seront utilisés, par exemple si ces fonds devront être restitués aux donateurs ou, avec leur consentement, utilisés pour d'autres projets de développement, ou une combinaison de ces deux options.</w:t>
      </w:r>
    </w:p>
    <w:p w:rsidR="003A3152" w:rsidRPr="001F1343" w:rsidRDefault="003A3152" w:rsidP="001C5E81">
      <w:pPr>
        <w:autoSpaceDE w:val="0"/>
        <w:autoSpaceDN w:val="0"/>
        <w:adjustRightInd w:val="0"/>
        <w:ind w:left="-450" w:right="-540"/>
        <w:rPr>
          <w:rFonts w:ascii="Times New Roman" w:hAnsi="Times New Roman"/>
          <w:szCs w:val="22"/>
        </w:rPr>
      </w:pPr>
    </w:p>
    <w:p w:rsidR="001C5E81"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Dans d'autres pays où des FSM similaires ont été mis en œuvre (par exemple au Pérou, au Vietnam), il a été constaté que les agriculteurs locaux produisant du biogaz étendent souvent les projets à l'ensemble des communautés avoisinantes en leur donnant accès à l'excédent d'électricité qu'ils produisent via la mise en place de mini-réseaux électriques alimentant les foyers en électricité et permettant d'éclairer les rues quelques heures.</w:t>
      </w:r>
    </w:p>
    <w:p w:rsidR="003A3152" w:rsidRPr="001F1343" w:rsidRDefault="003A3152" w:rsidP="006E0A04">
      <w:pPr>
        <w:autoSpaceDE w:val="0"/>
        <w:autoSpaceDN w:val="0"/>
        <w:adjustRightInd w:val="0"/>
        <w:ind w:left="-450" w:right="-540"/>
        <w:rPr>
          <w:rFonts w:ascii="Times New Roman" w:hAnsi="Times New Roman"/>
          <w:szCs w:val="22"/>
        </w:rPr>
      </w:pPr>
    </w:p>
    <w:p w:rsidR="001C5E81"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 xml:space="preserve">Le projet peut également envisager de mettre à l'essai un concept incitatif intéressant récemment introduit par SNV dans le cadre de son programme de biogaz domestique au Vietnam. Il s'agit de la mise en place d'un « Mécanisme de financement basé sur les résultats » (RFM) en vertu d'un FSM dans le but de créer des entreprises actives en matière de construction de digesteurs « afin de prendre part à un marché privé du biogaz pleinement opérationnel ». </w:t>
      </w:r>
      <w:r w:rsidR="003D6683">
        <w:rPr>
          <w:rFonts w:ascii="Times New Roman" w:hAnsi="Times New Roman"/>
        </w:rPr>
        <w:t>Dans le cadre</w:t>
      </w:r>
      <w:r>
        <w:rPr>
          <w:rFonts w:ascii="Times New Roman" w:hAnsi="Times New Roman"/>
        </w:rPr>
        <w:t xml:space="preserve"> du RFM, des maçons ayant reçu une formation commerciale supplémentaire peuvent toucher la somme de 27 $ pour chaque nouvelle installation de biogaz mise en œuvre dans des petites infrastructures d'exploitation de bétail. Cette mesure incitative compense les maçons pour les risques supplémentaires assumés afin de pénétrer sur le marché commercial, comme la mise en place de mécanismes tels que la formation des utilisateurs finaux et une promotion active des ventes. À long terme, le RFM </w:t>
      </w:r>
      <w:r w:rsidR="003D6683">
        <w:rPr>
          <w:rFonts w:ascii="Times New Roman" w:hAnsi="Times New Roman"/>
        </w:rPr>
        <w:t>doit</w:t>
      </w:r>
      <w:r>
        <w:rPr>
          <w:rFonts w:ascii="Times New Roman" w:hAnsi="Times New Roman"/>
        </w:rPr>
        <w:t xml:space="preserve"> remplacer les subventions accordées aux ménages au titre de l'implantation d'une installation de biogaz en encourageant « les </w:t>
      </w:r>
      <w:r w:rsidR="00C14545">
        <w:rPr>
          <w:rFonts w:ascii="Times New Roman" w:hAnsi="Times New Roman"/>
        </w:rPr>
        <w:t>chefs d’entreprise</w:t>
      </w:r>
      <w:r>
        <w:rPr>
          <w:rFonts w:ascii="Times New Roman" w:hAnsi="Times New Roman"/>
        </w:rPr>
        <w:t xml:space="preserve"> à assumer de nouveaux risques afin de développer davantage leur entreprise via une couverture des risques financiers supplémentaires, en cas d'obtention de résultats positifs ».</w:t>
      </w:r>
    </w:p>
    <w:p w:rsidR="006E0A04" w:rsidRPr="001F1343" w:rsidRDefault="000E6CB0" w:rsidP="006E0A04">
      <w:pPr>
        <w:autoSpaceDE w:val="0"/>
        <w:autoSpaceDN w:val="0"/>
        <w:adjustRightInd w:val="0"/>
        <w:ind w:left="-450" w:right="-540"/>
        <w:rPr>
          <w:rFonts w:ascii="Times New Roman" w:hAnsi="Times New Roman"/>
          <w:szCs w:val="22"/>
        </w:rPr>
      </w:pPr>
      <w:r>
        <w:rPr>
          <w:rFonts w:ascii="Times New Roman" w:hAnsi="Times New Roman"/>
        </w:rPr>
        <w:t xml:space="preserve"> </w:t>
      </w:r>
    </w:p>
    <w:p w:rsidR="006E0A04" w:rsidRPr="001F1343" w:rsidRDefault="00CA7034" w:rsidP="00064011">
      <w:pPr>
        <w:autoSpaceDE w:val="0"/>
        <w:autoSpaceDN w:val="0"/>
        <w:adjustRightInd w:val="0"/>
        <w:spacing w:after="0"/>
        <w:ind w:left="-450" w:right="-540"/>
        <w:rPr>
          <w:rFonts w:ascii="Times New Roman" w:hAnsi="Times New Roman"/>
          <w:b/>
          <w:szCs w:val="22"/>
        </w:rPr>
      </w:pPr>
      <w:r>
        <w:rPr>
          <w:rFonts w:ascii="Times New Roman" w:hAnsi="Times New Roman"/>
          <w:b/>
        </w:rPr>
        <w:t>Mise en œuvre du FSM</w:t>
      </w:r>
    </w:p>
    <w:p w:rsidR="009F73AA" w:rsidRPr="001F1343" w:rsidRDefault="009F73AA" w:rsidP="00064011">
      <w:pPr>
        <w:autoSpaceDE w:val="0"/>
        <w:autoSpaceDN w:val="0"/>
        <w:adjustRightInd w:val="0"/>
        <w:spacing w:after="0"/>
        <w:ind w:left="-450" w:right="-540"/>
        <w:rPr>
          <w:rFonts w:ascii="Times New Roman" w:hAnsi="Times New Roman"/>
          <w:b/>
          <w:szCs w:val="22"/>
        </w:rPr>
      </w:pPr>
    </w:p>
    <w:p w:rsidR="002B5ACF" w:rsidRPr="001F1343" w:rsidRDefault="00CA7034" w:rsidP="009E6FFE">
      <w:pPr>
        <w:autoSpaceDE w:val="0"/>
        <w:autoSpaceDN w:val="0"/>
        <w:adjustRightInd w:val="0"/>
        <w:ind w:left="-450" w:right="-540"/>
        <w:rPr>
          <w:rFonts w:ascii="Times New Roman" w:hAnsi="Times New Roman"/>
          <w:szCs w:val="22"/>
        </w:rPr>
      </w:pPr>
      <w:r>
        <w:rPr>
          <w:rFonts w:ascii="Times New Roman" w:hAnsi="Times New Roman"/>
        </w:rPr>
        <w:t xml:space="preserve">Le FSM constitue un mécanisme d'octroi de subventions et les fonds seront déposés auprès de l'Agence nationale de la microfinance (ANAMIF) qui, comme indiqué précédemment, rend des comptes au bureau du Président et assure déjà la gestion d'un fonds de microfinance mis en place par le gouvernement d'un montant de 18 millions </w:t>
      </w:r>
      <w:r w:rsidR="00C14545">
        <w:rPr>
          <w:rFonts w:ascii="Times New Roman" w:hAnsi="Times New Roman"/>
        </w:rPr>
        <w:t>d’USD</w:t>
      </w:r>
      <w:r>
        <w:rPr>
          <w:rFonts w:ascii="Times New Roman" w:hAnsi="Times New Roman"/>
        </w:rPr>
        <w:t xml:space="preserve">. Les fonds feront l'objet d'une gestion conjointe </w:t>
      </w:r>
      <w:r w:rsidR="00C14545">
        <w:rPr>
          <w:rFonts w:ascii="Times New Roman" w:hAnsi="Times New Roman"/>
        </w:rPr>
        <w:t>de</w:t>
      </w:r>
      <w:r>
        <w:rPr>
          <w:rFonts w:ascii="Times New Roman" w:hAnsi="Times New Roman"/>
        </w:rPr>
        <w:t xml:space="preserve"> l'ANAMIF et </w:t>
      </w:r>
      <w:r w:rsidR="00C14545">
        <w:rPr>
          <w:rFonts w:ascii="Times New Roman" w:hAnsi="Times New Roman"/>
        </w:rPr>
        <w:t>du</w:t>
      </w:r>
      <w:r>
        <w:rPr>
          <w:rFonts w:ascii="Times New Roman" w:hAnsi="Times New Roman"/>
        </w:rPr>
        <w:t xml:space="preserve"> PNUD, et seront utilisés afin de couvrir les </w:t>
      </w:r>
      <w:r w:rsidR="00C14545">
        <w:rPr>
          <w:rFonts w:ascii="Times New Roman" w:hAnsi="Times New Roman"/>
        </w:rPr>
        <w:t>subventions</w:t>
      </w:r>
      <w:r>
        <w:rPr>
          <w:rFonts w:ascii="Times New Roman" w:hAnsi="Times New Roman"/>
        </w:rPr>
        <w:t xml:space="preserve"> à l'investissement initiales requises par les promoteurs de biogaz, aussi bien au niveau domestique qu'au niveau commercial/industriel. </w:t>
      </w:r>
      <w:r w:rsidR="00C14545">
        <w:rPr>
          <w:rFonts w:ascii="Times New Roman" w:hAnsi="Times New Roman"/>
        </w:rPr>
        <w:t>Comme on l’a</w:t>
      </w:r>
      <w:r>
        <w:rPr>
          <w:rFonts w:ascii="Times New Roman" w:hAnsi="Times New Roman"/>
        </w:rPr>
        <w:t xml:space="preserve"> vu précédemment, les versements de la </w:t>
      </w:r>
      <w:r w:rsidR="00C14545">
        <w:rPr>
          <w:rFonts w:ascii="Times New Roman" w:hAnsi="Times New Roman"/>
        </w:rPr>
        <w:t>subvention</w:t>
      </w:r>
      <w:r>
        <w:rPr>
          <w:rFonts w:ascii="Times New Roman" w:hAnsi="Times New Roman"/>
        </w:rPr>
        <w:t xml:space="preserve"> d'investisse</w:t>
      </w:r>
      <w:r w:rsidR="00C14545">
        <w:rPr>
          <w:rFonts w:ascii="Times New Roman" w:hAnsi="Times New Roman"/>
        </w:rPr>
        <w:t>ment seront effectués dès que l’on disposera de suffisamment d’indications selon lesquelles</w:t>
      </w:r>
      <w:r>
        <w:rPr>
          <w:rFonts w:ascii="Times New Roman" w:hAnsi="Times New Roman"/>
        </w:rPr>
        <w:t xml:space="preserve"> que le promoteur est susceptible de remplir les conditions d'octroi d'un crédit par une IMF ou un autre établissement de crédit. Dans tous les cas, la subvention ne sera pas octroyée directement au bénéficiaire mais via le constructeur du digesteur du ménage ou via les consultants/groupe de consultants chargés de préparer les études de faisabilité/plans de développement et de superviser les travaux de construction au nom de l'entreprise commerciale/industrielle. </w:t>
      </w:r>
    </w:p>
    <w:p w:rsidR="003A3152" w:rsidRPr="001F1343" w:rsidRDefault="003A3152" w:rsidP="006E0A04">
      <w:pPr>
        <w:autoSpaceDE w:val="0"/>
        <w:autoSpaceDN w:val="0"/>
        <w:adjustRightInd w:val="0"/>
        <w:ind w:left="-450" w:right="-540"/>
        <w:rPr>
          <w:rFonts w:ascii="Times New Roman" w:hAnsi="Times New Roman"/>
          <w:szCs w:val="22"/>
        </w:rPr>
      </w:pPr>
    </w:p>
    <w:p w:rsidR="001F51CC" w:rsidRPr="001F1343" w:rsidRDefault="00CA7034" w:rsidP="006E0A04">
      <w:pPr>
        <w:autoSpaceDE w:val="0"/>
        <w:autoSpaceDN w:val="0"/>
        <w:adjustRightInd w:val="0"/>
        <w:ind w:left="-450" w:right="-540"/>
        <w:rPr>
          <w:rFonts w:ascii="Times New Roman" w:hAnsi="Times New Roman"/>
          <w:szCs w:val="22"/>
        </w:rPr>
      </w:pPr>
      <w:r>
        <w:rPr>
          <w:rFonts w:ascii="Times New Roman" w:hAnsi="Times New Roman"/>
        </w:rPr>
        <w:t>Le Conseiller technique en chef à l'international et à temps partiel rédigera un manuel de procédures régissant le versement de la subvention/prime dans un délai de six mois à compter du début du projet.</w:t>
      </w:r>
      <w:r w:rsidR="000E6CB0">
        <w:rPr>
          <w:rFonts w:ascii="Times New Roman" w:hAnsi="Times New Roman"/>
        </w:rPr>
        <w:t xml:space="preserve"> </w:t>
      </w:r>
    </w:p>
    <w:p w:rsidR="003A3152" w:rsidRPr="001F1343" w:rsidRDefault="000E6CB0" w:rsidP="00F46B36">
      <w:pPr>
        <w:autoSpaceDE w:val="0"/>
        <w:autoSpaceDN w:val="0"/>
        <w:adjustRightInd w:val="0"/>
        <w:ind w:left="-450" w:right="-540"/>
        <w:rPr>
          <w:rFonts w:ascii="Times New Roman" w:hAnsi="Times New Roman"/>
          <w:szCs w:val="22"/>
        </w:rPr>
      </w:pPr>
      <w:r>
        <w:rPr>
          <w:rFonts w:ascii="Times New Roman" w:hAnsi="Times New Roman"/>
        </w:rPr>
        <w:t xml:space="preserve">    </w:t>
      </w:r>
    </w:p>
    <w:p w:rsidR="003A3152" w:rsidRPr="001F1343" w:rsidRDefault="003A3152" w:rsidP="00983B08">
      <w:pPr>
        <w:autoSpaceDE w:val="0"/>
        <w:autoSpaceDN w:val="0"/>
        <w:adjustRightInd w:val="0"/>
        <w:ind w:right="-540"/>
        <w:rPr>
          <w:rFonts w:ascii="Times New Roman" w:hAnsi="Times New Roman"/>
          <w:szCs w:val="22"/>
        </w:rPr>
      </w:pPr>
    </w:p>
    <w:p w:rsidR="00BC6B93" w:rsidRPr="001F1343" w:rsidRDefault="00865A23" w:rsidP="00AF7851">
      <w:pPr>
        <w:autoSpaceDE w:val="0"/>
        <w:autoSpaceDN w:val="0"/>
        <w:adjustRightInd w:val="0"/>
        <w:ind w:left="-450" w:right="-540"/>
        <w:jc w:val="center"/>
        <w:rPr>
          <w:sz w:val="28"/>
          <w:szCs w:val="28"/>
        </w:rPr>
      </w:pPr>
      <w:r>
        <w:rPr>
          <w:noProof/>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369570</wp:posOffset>
                </wp:positionV>
                <wp:extent cx="6629400" cy="5448935"/>
                <wp:effectExtent l="0" t="0" r="19050" b="18415"/>
                <wp:wrapTight wrapText="bothSides">
                  <wp:wrapPolygon edited="0">
                    <wp:start x="0" y="0"/>
                    <wp:lineTo x="0" y="21597"/>
                    <wp:lineTo x="21600" y="21597"/>
                    <wp:lineTo x="2160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5448935"/>
                        </a:xfrm>
                        <a:prstGeom prst="rect">
                          <a:avLst/>
                        </a:prstGeom>
                        <a:solidFill>
                          <a:sysClr val="window" lastClr="FFFFFF"/>
                        </a:solidFill>
                        <a:ln w="6350">
                          <a:solidFill>
                            <a:prstClr val="black"/>
                          </a:solidFill>
                        </a:ln>
                        <a:effectLst/>
                      </wps:spPr>
                      <wps:txbx>
                        <w:txbxContent>
                          <w:p w:rsidR="00F61709" w:rsidRPr="00F61709" w:rsidRDefault="00F61709" w:rsidP="00C81272">
                            <w:pPr>
                              <w:jc w:val="center"/>
                              <w:rPr>
                                <w:rFonts w:ascii="Times New Roman" w:hAnsi="Times New Roman"/>
                                <w:b/>
                                <w:color w:val="FFFFFF" w:themeColor="background1"/>
                                <w:sz w:val="20"/>
                                <w:szCs w:val="20"/>
                              </w:rPr>
                            </w:pPr>
                            <w:r w:rsidRPr="00F61709">
                              <w:rPr>
                                <w:rFonts w:ascii="Times New Roman" w:hAnsi="Times New Roman"/>
                                <w:b/>
                                <w:color w:val="FFFFFF" w:themeColor="background1"/>
                                <w:sz w:val="20"/>
                              </w:rPr>
                              <w:t>Mécanisme de soutien financier (FSM)</w:t>
                            </w:r>
                          </w:p>
                          <w:p w:rsidR="00F61709" w:rsidRPr="00F61709" w:rsidRDefault="00F61709" w:rsidP="00C81272">
                            <w:pPr>
                              <w:jc w:val="center"/>
                              <w:rPr>
                                <w:rFonts w:ascii="Times New Roman" w:hAnsi="Times New Roman"/>
                                <w:b/>
                                <w:color w:val="FFFFFF" w:themeColor="background1"/>
                                <w:sz w:val="18"/>
                                <w:szCs w:val="18"/>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Objectif :</w:t>
                            </w:r>
                            <w:r w:rsidRPr="00F61709">
                              <w:rPr>
                                <w:rFonts w:ascii="Times New Roman" w:hAnsi="Times New Roman"/>
                                <w:b/>
                                <w:color w:val="FFFFFF" w:themeColor="background1"/>
                                <w:sz w:val="20"/>
                              </w:rPr>
                              <w:t xml:space="preserve"> </w:t>
                            </w:r>
                            <w:r w:rsidRPr="00F61709">
                              <w:rPr>
                                <w:rFonts w:ascii="Times New Roman" w:hAnsi="Times New Roman"/>
                                <w:color w:val="FFFFFF" w:themeColor="background1"/>
                                <w:sz w:val="20"/>
                              </w:rPr>
                              <w:t>(1)</w:t>
                            </w:r>
                            <w:r w:rsidRPr="00F61709">
                              <w:rPr>
                                <w:rFonts w:ascii="Times New Roman" w:hAnsi="Times New Roman"/>
                                <w:b/>
                                <w:color w:val="FFFFFF" w:themeColor="background1"/>
                                <w:sz w:val="20"/>
                              </w:rPr>
                              <w:t xml:space="preserve"> </w:t>
                            </w:r>
                            <w:r w:rsidRPr="00F61709">
                              <w:rPr>
                                <w:rFonts w:ascii="Times New Roman" w:hAnsi="Times New Roman"/>
                                <w:color w:val="FFFFFF" w:themeColor="background1"/>
                                <w:sz w:val="20"/>
                              </w:rPr>
                              <w:t xml:space="preserve">Soutenir la construction de digesteurs à biogaz domestiques en accordant une subvention d’investissement de 20 % (160 $) pour un digesteur de 6 m3 (coût total estimé par digesteur domestique : 800 $) aux ménages intéressés. La subvention fera office de mesure incitant les ménages à ne plus avoir recours à des ressources à base de résidus non agricoles (par exemple le bois de chauffage, le charbon et les combustibles fossiles) pour la cuisine et l'éclairage, et à se tourner vers des ressources agricoles (par exemple la bouse de vache, les déchets agricoles et déchets ménagers biodégradables) afin de satisfaire leurs besoins énergétiques ménagers en termes de cuisine et d'éclairage, et à utiliser du lisier issu de digesteurs en tant qu'engrais en lieu et place des engrais chimiques. </w:t>
                            </w:r>
                          </w:p>
                          <w:p w:rsidR="00F61709" w:rsidRPr="00F61709" w:rsidRDefault="00F61709" w:rsidP="00C81272">
                            <w:pPr>
                              <w:rPr>
                                <w:rFonts w:ascii="Times New Roman" w:hAnsi="Times New Roman"/>
                                <w:color w:val="FFFFFF" w:themeColor="background1"/>
                                <w:sz w:val="20"/>
                                <w:szCs w:val="20"/>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(2) Pour des investisseurs commerciaux/institutionnels en technologies à base de biogaz, soutenir la préparation d'études de faisabilité/plans de développement ainsi que des investissements partiels dans des projets de biogaz via l'octroi d'une subvention aux promoteurs de projets éligibles, d'un montant correspondant à 50 % de chacun des coûts engagés pour l'étude de faisabilité et la subvention d’investissement, pour un montant maximum de 50 000 $ par projet attribué. Les promoteurs de projets seront ainsi incités à envisager l'utilisation de déchets générés par leurs opérations commerciales afin de satisfaire, quoique partiellement, leurs exigences énergétiques à partir de combustibles non fossiles.</w:t>
                            </w:r>
                          </w:p>
                          <w:p w:rsidR="00F61709" w:rsidRPr="00F61709" w:rsidRDefault="00F61709" w:rsidP="00C81272">
                            <w:pPr>
                              <w:rPr>
                                <w:rFonts w:ascii="Times New Roman" w:hAnsi="Times New Roman"/>
                                <w:color w:val="FFFFFF" w:themeColor="background1"/>
                                <w:sz w:val="20"/>
                                <w:szCs w:val="20"/>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Capital de départ : 1,2 million d’USD (1 million d’USD du FEM et 0,2 million d’USD du PNUD).</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Organisme dépositaire des fonds : Agence nationale de la microfinance (ANAMIF)</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Gestionnaires des fonds : ANAMIF et PNUD.</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Versement :</w:t>
                            </w:r>
                            <w:r w:rsidRPr="00F61709">
                              <w:rPr>
                                <w:rFonts w:ascii="Times New Roman" w:hAnsi="Times New Roman"/>
                                <w:color w:val="FFFFFF" w:themeColor="background1"/>
                              </w:rPr>
                              <w:t xml:space="preserve"> </w:t>
                            </w:r>
                            <w:r w:rsidRPr="00F61709">
                              <w:rPr>
                                <w:rFonts w:ascii="Times New Roman" w:hAnsi="Times New Roman"/>
                                <w:color w:val="FFFFFF" w:themeColor="background1"/>
                                <w:sz w:val="20"/>
                              </w:rPr>
                              <w:t xml:space="preserve">Les fonds seront versés directement au constructeur du digesteur suite à la conclusion en bonne et due forme d'un contrat entre ledit constructeur et l'investisseur domestique et/ou commercial/institutionnel. </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Durée du FSM : Pendant les 4 ans du projet.</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Versements : Pourcentage de contribution initiale à conserver, à savoir 83 % du FEM et 17 % du PNUD.</w:t>
                            </w:r>
                          </w:p>
                          <w:p w:rsidR="00F61709" w:rsidRPr="00F61709" w:rsidRDefault="00F61709" w:rsidP="00C81272">
                            <w:pPr>
                              <w:rPr>
                                <w:rFonts w:ascii="Times New Roman" w:hAnsi="Times New Roman"/>
                                <w:color w:val="FFFFFF" w:themeColor="background1"/>
                                <w:sz w:val="20"/>
                                <w:szCs w:val="20"/>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Dans l'hypothèse où 2 000 digesteurs domestiques seraient construits pendant toute la durée du projet, la subvention totale accordée aux ménages serait de 320 000 $ (2 000 ménages x 160 $). De plus, dans l'hypothèse où les 10 digesteurs commerciaux/industriels seraient construits sur la même période et que la prime à l'investissement maximum de 50 000 $/digesteur serait accordée, le total de la subvention d’investissement s'élèverait à 500 000 $. Ainsi, si aucun digesteur supplémentaire n'est construit pendant la durée du projet, le FSM aura versé 820 000 $ sur les 1,2 million d’USD disponibles. Toutefois, on s'attend à ce que l'élan suscité lors des 2 premières années du projet permette de dépasser l'objectif de 2 000 digesteurs domestiques et 10 digesteurs commerciaux/industriels, et à ce que soient ainsi utilisés le solde restant des fonds du FSM ainsi que les fonds supplémentaires levés afin de poursuivre le programme de biogaz une fois le projet fini.</w:t>
                            </w:r>
                          </w:p>
                          <w:p w:rsidR="00F61709" w:rsidRPr="00F61709" w:rsidRDefault="00F61709" w:rsidP="00AF7851">
                            <w:pPr>
                              <w:rPr>
                                <w:rFonts w:ascii="Times New Roman" w:hAnsi="Times New Roman"/>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9.1pt;width:522pt;height:429.0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ePZgIAAOE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" fillcolor="window" strokeweight=".5pt">
                <v:path arrowok="t"/>
                <v:textbox>
                  <w:txbxContent>
                    <w:p w:rsidR="00F61709" w:rsidRPr="00F61709" w:rsidRDefault="00F61709" w:rsidP="00C81272">
                      <w:pPr>
                        <w:jc w:val="center"/>
                        <w:rPr>
                          <w:rFonts w:ascii="Times New Roman" w:hAnsi="Times New Roman"/>
                          <w:b/>
                          <w:color w:val="FFFFFF" w:themeColor="background1"/>
                          <w:sz w:val="20"/>
                          <w:szCs w:val="20"/>
                        </w:rPr>
                      </w:pPr>
                      <w:r w:rsidRPr="00F61709">
                        <w:rPr>
                          <w:rFonts w:ascii="Times New Roman" w:hAnsi="Times New Roman"/>
                          <w:b/>
                          <w:color w:val="FFFFFF" w:themeColor="background1"/>
                          <w:sz w:val="20"/>
                        </w:rPr>
                        <w:t>Mécanisme de soutien financier (FSM)</w:t>
                      </w:r>
                    </w:p>
                    <w:p w:rsidR="00F61709" w:rsidRPr="00F61709" w:rsidRDefault="00F61709" w:rsidP="00C81272">
                      <w:pPr>
                        <w:jc w:val="center"/>
                        <w:rPr>
                          <w:rFonts w:ascii="Times New Roman" w:hAnsi="Times New Roman"/>
                          <w:b/>
                          <w:color w:val="FFFFFF" w:themeColor="background1"/>
                          <w:sz w:val="18"/>
                          <w:szCs w:val="18"/>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Objectif :</w:t>
                      </w:r>
                      <w:r w:rsidRPr="00F61709">
                        <w:rPr>
                          <w:rFonts w:ascii="Times New Roman" w:hAnsi="Times New Roman"/>
                          <w:b/>
                          <w:color w:val="FFFFFF" w:themeColor="background1"/>
                          <w:sz w:val="20"/>
                        </w:rPr>
                        <w:t xml:space="preserve"> </w:t>
                      </w:r>
                      <w:r w:rsidRPr="00F61709">
                        <w:rPr>
                          <w:rFonts w:ascii="Times New Roman" w:hAnsi="Times New Roman"/>
                          <w:color w:val="FFFFFF" w:themeColor="background1"/>
                          <w:sz w:val="20"/>
                        </w:rPr>
                        <w:t>(1)</w:t>
                      </w:r>
                      <w:r w:rsidRPr="00F61709">
                        <w:rPr>
                          <w:rFonts w:ascii="Times New Roman" w:hAnsi="Times New Roman"/>
                          <w:b/>
                          <w:color w:val="FFFFFF" w:themeColor="background1"/>
                          <w:sz w:val="20"/>
                        </w:rPr>
                        <w:t xml:space="preserve"> </w:t>
                      </w:r>
                      <w:r w:rsidRPr="00F61709">
                        <w:rPr>
                          <w:rFonts w:ascii="Times New Roman" w:hAnsi="Times New Roman"/>
                          <w:color w:val="FFFFFF" w:themeColor="background1"/>
                          <w:sz w:val="20"/>
                        </w:rPr>
                        <w:t xml:space="preserve">Soutenir la construction de digesteurs à biogaz domestiques en accordant une subvention d’investissement de 20 % (160 $) pour un digesteur de 6 m3 (coût total estimé par digesteur domestique : 800 $) aux ménages intéressés. La subvention fera office de mesure incitant les ménages à ne plus avoir recours à des ressources à base de résidus non agricoles (par exemple le bois de chauffage, le charbon et les combustibles fossiles) pour la cuisine et l'éclairage, et à se tourner vers des ressources agricoles (par exemple la bouse de vache, les déchets agricoles et déchets ménagers biodégradables) afin de satisfaire leurs besoins énergétiques ménagers en termes de cuisine et d'éclairage, et à utiliser du lisier issu de digesteurs en tant qu'engrais en lieu et place des engrais chimiques. </w:t>
                      </w:r>
                    </w:p>
                    <w:p w:rsidR="00F61709" w:rsidRPr="00F61709" w:rsidRDefault="00F61709" w:rsidP="00C81272">
                      <w:pPr>
                        <w:rPr>
                          <w:rFonts w:ascii="Times New Roman" w:hAnsi="Times New Roman"/>
                          <w:color w:val="FFFFFF" w:themeColor="background1"/>
                          <w:sz w:val="20"/>
                          <w:szCs w:val="20"/>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(2) Pour des investisseurs commerciaux/institutionnels en technologies à base de biogaz, soutenir la préparation d'études de faisabilité/plans de développement ainsi que des investissements partiels dans des projets de biogaz via l'octroi d'une subvention aux promoteurs de projets éligibles, d'un montant correspondant à 50 % de chacun des coûts engagés pour l'étude de faisabilité et la subvention d’investissement, pour un montant maximum de 50 000 $ par projet attribué. Les promoteurs de projets seront ainsi incités à envisager l'utilisation de déchets générés par leurs opérations commerciales afin de satisfaire, quoique partiellement, leurs exigences énergétiques à partir de combustibles non fossiles.</w:t>
                      </w:r>
                    </w:p>
                    <w:p w:rsidR="00F61709" w:rsidRPr="00F61709" w:rsidRDefault="00F61709" w:rsidP="00C81272">
                      <w:pPr>
                        <w:rPr>
                          <w:rFonts w:ascii="Times New Roman" w:hAnsi="Times New Roman"/>
                          <w:color w:val="FFFFFF" w:themeColor="background1"/>
                          <w:sz w:val="20"/>
                          <w:szCs w:val="20"/>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Capital de départ : 1,2 million d’USD (1 million d’USD du FEM et 0,2 million d’USD du PNUD).</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Organisme dépositaire des fonds : Agence nationale de la microfinance (ANAMIF)</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Gestionnaires des fonds : ANAMIF et PNUD.</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Versement :</w:t>
                      </w:r>
                      <w:r w:rsidRPr="00F61709">
                        <w:rPr>
                          <w:rFonts w:ascii="Times New Roman" w:hAnsi="Times New Roman"/>
                          <w:color w:val="FFFFFF" w:themeColor="background1"/>
                        </w:rPr>
                        <w:t xml:space="preserve"> </w:t>
                      </w:r>
                      <w:r w:rsidRPr="00F61709">
                        <w:rPr>
                          <w:rFonts w:ascii="Times New Roman" w:hAnsi="Times New Roman"/>
                          <w:color w:val="FFFFFF" w:themeColor="background1"/>
                          <w:sz w:val="20"/>
                        </w:rPr>
                        <w:t xml:space="preserve">Les fonds seront versés directement au constructeur du digesteur suite à la conclusion en bonne et due forme d'un contrat entre ledit constructeur et l'investisseur domestique et/ou commercial/institutionnel. </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Durée du FSM : Pendant les 4 ans du projet.</w:t>
                      </w: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Versements : Pourcentage de contribution initiale à conserver, à savoir 83 % du FEM et 17 % du PNUD.</w:t>
                      </w:r>
                    </w:p>
                    <w:p w:rsidR="00F61709" w:rsidRPr="00F61709" w:rsidRDefault="00F61709" w:rsidP="00C81272">
                      <w:pPr>
                        <w:rPr>
                          <w:rFonts w:ascii="Times New Roman" w:hAnsi="Times New Roman"/>
                          <w:color w:val="FFFFFF" w:themeColor="background1"/>
                          <w:sz w:val="20"/>
                          <w:szCs w:val="20"/>
                        </w:rPr>
                      </w:pPr>
                    </w:p>
                    <w:p w:rsidR="00F61709" w:rsidRPr="00F61709" w:rsidRDefault="00F61709" w:rsidP="00C81272">
                      <w:pPr>
                        <w:rPr>
                          <w:rFonts w:ascii="Times New Roman" w:hAnsi="Times New Roman"/>
                          <w:color w:val="FFFFFF" w:themeColor="background1"/>
                          <w:sz w:val="20"/>
                          <w:szCs w:val="20"/>
                        </w:rPr>
                      </w:pPr>
                      <w:r w:rsidRPr="00F61709">
                        <w:rPr>
                          <w:rFonts w:ascii="Times New Roman" w:hAnsi="Times New Roman"/>
                          <w:color w:val="FFFFFF" w:themeColor="background1"/>
                          <w:sz w:val="20"/>
                        </w:rPr>
                        <w:t>Dans l'hypothèse où 2 000 digesteurs domestiques seraient construits pendant toute la durée du projet, la subvention totale accordée aux ménages serait de 320 000 $ (2 000 ménages x 160 $). De plus, dans l'hypothèse où les 10 digesteurs commerciaux/industriels seraient construits sur la même période et que la prime à l'investissement maximum de 50 000 $/digesteur serait accordée, le total de la subvention d’investissement s'élèverait à 500 000 $. Ainsi, si aucun digesteur supplémentaire n'est construit pendant la durée du projet, le FSM aura versé 820 000 $ sur les 1,2 million d’USD disponibles. Toutefois, on s'attend à ce que l'élan suscité lors des 2 premières années du projet permette de dépasser l'objectif de 2 000 digesteurs domestiques et 10 digesteurs commerciaux/industriels, et à ce que soient ainsi utilisés le solde restant des fonds du FSM ainsi que les fonds supplémentaires levés afin de poursuivre le programme de biogaz une fois le projet fini.</w:t>
                      </w:r>
                    </w:p>
                    <w:p w:rsidR="00F61709" w:rsidRPr="00F61709" w:rsidRDefault="00F61709" w:rsidP="00AF7851">
                      <w:pPr>
                        <w:rPr>
                          <w:rFonts w:ascii="Times New Roman" w:hAnsi="Times New Roman"/>
                          <w:color w:val="FFFFFF" w:themeColor="background1"/>
                          <w:sz w:val="20"/>
                          <w:szCs w:val="20"/>
                        </w:rPr>
                      </w:pPr>
                    </w:p>
                  </w:txbxContent>
                </v:textbox>
                <w10:wrap type="tight" anchorx="margin"/>
              </v:shape>
            </w:pict>
          </mc:Fallback>
        </mc:AlternateContent>
      </w:r>
      <w:r w:rsidR="00CA7034">
        <w:rPr>
          <w:rFonts w:ascii="Times New Roman" w:hAnsi="Times New Roman"/>
        </w:rPr>
        <w:t>Encadré 1 : Aperçu du FSM</w:t>
      </w:r>
      <w:bookmarkStart w:id="16" w:name="_Toc262924482"/>
    </w:p>
    <w:bookmarkEnd w:id="16"/>
    <w:p w:rsidR="00CF7B37" w:rsidRDefault="00CF7B37" w:rsidP="0033026B">
      <w:pPr>
        <w:spacing w:after="0"/>
        <w:jc w:val="left"/>
        <w:rPr>
          <w:rFonts w:ascii="Myriad Pro" w:hAnsi="Myriad Pro"/>
          <w:b/>
          <w:szCs w:val="22"/>
        </w:rPr>
      </w:pPr>
    </w:p>
    <w:p w:rsidR="00CF7B37" w:rsidRDefault="00CF7B37" w:rsidP="0033026B">
      <w:pPr>
        <w:spacing w:after="0"/>
        <w:jc w:val="left"/>
        <w:rPr>
          <w:rFonts w:ascii="Myriad Pro" w:hAnsi="Myriad Pro"/>
          <w:b/>
          <w:szCs w:val="22"/>
        </w:rPr>
      </w:pPr>
    </w:p>
    <w:p w:rsidR="00CF7B37" w:rsidRDefault="00CF7B37" w:rsidP="0033026B">
      <w:pPr>
        <w:spacing w:after="0"/>
        <w:jc w:val="left"/>
        <w:rPr>
          <w:rFonts w:ascii="Myriad Pro" w:hAnsi="Myriad Pro"/>
          <w:b/>
          <w:szCs w:val="22"/>
        </w:rPr>
      </w:pPr>
    </w:p>
    <w:p w:rsidR="00AC6934" w:rsidRPr="001F1343" w:rsidRDefault="00AC6934" w:rsidP="00AC6934">
      <w:pPr>
        <w:autoSpaceDE w:val="0"/>
        <w:autoSpaceDN w:val="0"/>
        <w:adjustRightInd w:val="0"/>
        <w:ind w:left="-450" w:right="-540"/>
        <w:rPr>
          <w:rFonts w:ascii="Times New Roman" w:hAnsi="Times New Roman"/>
          <w:szCs w:val="22"/>
        </w:rPr>
      </w:pPr>
    </w:p>
    <w:p w:rsidR="00AC6934" w:rsidRPr="001F1343" w:rsidRDefault="00AC6934" w:rsidP="00AC6934">
      <w:pPr>
        <w:autoSpaceDE w:val="0"/>
        <w:autoSpaceDN w:val="0"/>
        <w:adjustRightInd w:val="0"/>
        <w:ind w:left="-450" w:right="-540"/>
        <w:rPr>
          <w:rFonts w:ascii="Times New Roman" w:hAnsi="Times New Roman"/>
          <w:szCs w:val="22"/>
        </w:rPr>
      </w:pPr>
    </w:p>
    <w:p w:rsidR="00AC6934" w:rsidRPr="001F1343" w:rsidRDefault="00AC6934" w:rsidP="00AC6934">
      <w:pPr>
        <w:pStyle w:val="Titre1"/>
        <w:ind w:left="-450"/>
        <w:rPr>
          <w:sz w:val="28"/>
          <w:szCs w:val="28"/>
        </w:rPr>
      </w:pPr>
      <w:bookmarkStart w:id="17" w:name="_Toc418144239"/>
      <w:bookmarkStart w:id="18" w:name="_Toc298586288"/>
      <w:r>
        <w:rPr>
          <w:sz w:val="28"/>
        </w:rPr>
        <w:lastRenderedPageBreak/>
        <w:t>2. Stratégie</w:t>
      </w:r>
      <w:bookmarkEnd w:id="17"/>
      <w:bookmarkEnd w:id="18"/>
    </w:p>
    <w:p w:rsidR="00AC6934" w:rsidRPr="001F1343" w:rsidRDefault="00AC6934" w:rsidP="00AC6934">
      <w:pPr>
        <w:pStyle w:val="Titre2"/>
        <w:ind w:left="-450"/>
        <w:rPr>
          <w:i w:val="0"/>
          <w:smallCaps/>
        </w:rPr>
      </w:pPr>
      <w:bookmarkStart w:id="19" w:name="_Toc262924483"/>
      <w:bookmarkStart w:id="20" w:name="_Toc418144240"/>
      <w:bookmarkStart w:id="21" w:name="_Toc298586289"/>
      <w:r>
        <w:rPr>
          <w:i w:val="0"/>
        </w:rPr>
        <w:t>Justification du projet et conformité avec la politique</w:t>
      </w:r>
      <w:bookmarkEnd w:id="19"/>
      <w:bookmarkEnd w:id="20"/>
      <w:bookmarkEnd w:id="21"/>
    </w:p>
    <w:p w:rsidR="00AC6934" w:rsidRPr="001F1343" w:rsidRDefault="00AC6934" w:rsidP="00AC6934">
      <w:pPr>
        <w:pStyle w:val="Paragraphedeliste"/>
        <w:spacing w:after="0"/>
        <w:ind w:left="0"/>
        <w:jc w:val="left"/>
        <w:rPr>
          <w:rFonts w:ascii="Times New Roman" w:hAnsi="Times New Roman"/>
          <w:b/>
          <w:smallCaps/>
          <w:szCs w:val="22"/>
        </w:rPr>
      </w:pPr>
    </w:p>
    <w:p w:rsidR="00AC6934" w:rsidRPr="001F1343" w:rsidRDefault="00AC6934" w:rsidP="00AC6934">
      <w:pPr>
        <w:autoSpaceDE w:val="0"/>
        <w:autoSpaceDN w:val="0"/>
        <w:adjustRightInd w:val="0"/>
        <w:spacing w:after="0"/>
        <w:ind w:left="-450" w:right="-630"/>
        <w:rPr>
          <w:rFonts w:ascii="Times New Roman" w:hAnsi="Times New Roman"/>
          <w:szCs w:val="22"/>
        </w:rPr>
      </w:pPr>
      <w:r>
        <w:rPr>
          <w:rFonts w:ascii="Times New Roman" w:hAnsi="Times New Roman"/>
        </w:rPr>
        <w:t>Les technologies basées sur le biogaz, en plus de fournir de l'énergie et des matières fertilisantes, offrent une excellente occasion de réduire les émissions de gaz à effet de serre (GES) en remplaçant le bois de chauffage pour la cuisine, le kérosène pour l'éclairage (très peu utilisé en Guinée où les LED à batterie chinoises sont de mise), les engrais chimiques et en limitant la déforestation. Dans cette optique, l'objectif du projet consiste à contribuer à la réduction de la croissance des émissions de GES liées à la consommation d'énergie à usage domestique. Il établira un marché viable et efficace pour la commercialisation et l'utilisation généralisées de technologies à base de biogaz en Guinée et il propose, pour ce faire, la création de 3 marchés distincts mais interconnectés. Le premier marché cible les digesteurs de format familial (au niveau des ménages) à petite échelle. Il sera principalement axé sur l'autoconsommation et la gestion des matières premières en interne, et cette catégorie se compose principalement de ménages agricoles élevant du bétail. Le second marché cible les digesteurs à grande échelle pour des applications institutionnelles, commerciales et industrielles présentant un besoin en chaleur et/ou électricité. Il s'agit encore principalement d'autoconsommateurs, remplaçant les vecteurs d'énergie actuels (tels que le diesel ou le réseau d'électricité) par une alternative plus propre et moins onéreuse dans leur processus commercial. Enfin, le projet s'adressera au marché intérieur à des fins de fabrication et d'installation de digesteurs.</w:t>
      </w:r>
    </w:p>
    <w:p w:rsidR="00AC6934" w:rsidRPr="001F1343" w:rsidRDefault="00AC6934" w:rsidP="00AC6934">
      <w:pPr>
        <w:autoSpaceDE w:val="0"/>
        <w:autoSpaceDN w:val="0"/>
        <w:adjustRightInd w:val="0"/>
        <w:spacing w:after="0"/>
        <w:ind w:left="-450" w:right="-630"/>
        <w:rPr>
          <w:rFonts w:ascii="Times New Roman" w:hAnsi="Times New Roman"/>
          <w:szCs w:val="22"/>
        </w:rPr>
      </w:pPr>
      <w:r>
        <w:rPr>
          <w:rFonts w:ascii="Times New Roman" w:hAnsi="Times New Roman"/>
        </w:rPr>
        <w:t xml:space="preserve"> </w:t>
      </w:r>
    </w:p>
    <w:p w:rsidR="00AC6934" w:rsidRPr="001F1343" w:rsidRDefault="00AC6934" w:rsidP="00AC6934">
      <w:pPr>
        <w:autoSpaceDE w:val="0"/>
        <w:autoSpaceDN w:val="0"/>
        <w:adjustRightInd w:val="0"/>
        <w:spacing w:after="0"/>
        <w:ind w:left="-450" w:right="-630"/>
        <w:rPr>
          <w:rFonts w:ascii="Times New Roman" w:hAnsi="Times New Roman"/>
          <w:szCs w:val="22"/>
        </w:rPr>
      </w:pPr>
      <w:r>
        <w:rPr>
          <w:rFonts w:ascii="Times New Roman" w:hAnsi="Times New Roman"/>
        </w:rPr>
        <w:t xml:space="preserve">Dans un scénario de statu quo, la part des technologies à base de biogaz dans la palette énergétique domestique et au sein des petites entreprises commerciales/industrielles au cours des années à venir pourrait rester exactement la même qu'à l'heure actuelle, c'est-à-dire nulle. Et </w:t>
      </w:r>
      <w:r w:rsidR="007562CF">
        <w:rPr>
          <w:rFonts w:ascii="Times New Roman" w:hAnsi="Times New Roman"/>
        </w:rPr>
        <w:t>c’en</w:t>
      </w:r>
      <w:r>
        <w:rPr>
          <w:rFonts w:ascii="Times New Roman" w:hAnsi="Times New Roman"/>
        </w:rPr>
        <w:t xml:space="preserve"> dépit du fait que les technologies à base de biogaz, comme indiqué précédemment, ont pour la première fois étaient introduites en Guinée il y a presque quarante ans. Le projet entend aider le gouvernement guinéen à :</w:t>
      </w:r>
    </w:p>
    <w:p w:rsidR="00AC6934" w:rsidRPr="001F1343" w:rsidRDefault="00AC6934" w:rsidP="00AC6934">
      <w:pPr>
        <w:autoSpaceDE w:val="0"/>
        <w:autoSpaceDN w:val="0"/>
        <w:adjustRightInd w:val="0"/>
        <w:spacing w:after="0"/>
        <w:ind w:left="-450" w:right="-630"/>
        <w:rPr>
          <w:rFonts w:ascii="Times New Roman" w:hAnsi="Times New Roman"/>
          <w:szCs w:val="22"/>
        </w:rPr>
      </w:pPr>
    </w:p>
    <w:p w:rsidR="00AC6934" w:rsidRPr="001F1343" w:rsidRDefault="00AC6934" w:rsidP="000C4537">
      <w:pPr>
        <w:pStyle w:val="Paragraphedeliste"/>
        <w:numPr>
          <w:ilvl w:val="0"/>
          <w:numId w:val="16"/>
        </w:numPr>
        <w:autoSpaceDE w:val="0"/>
        <w:autoSpaceDN w:val="0"/>
        <w:adjustRightInd w:val="0"/>
        <w:spacing w:after="0"/>
        <w:ind w:right="-630" w:firstLine="0"/>
        <w:rPr>
          <w:rFonts w:ascii="Times New Roman" w:hAnsi="Times New Roman"/>
          <w:szCs w:val="22"/>
        </w:rPr>
      </w:pPr>
      <w:r>
        <w:rPr>
          <w:rFonts w:ascii="Times New Roman" w:hAnsi="Times New Roman"/>
        </w:rPr>
        <w:t xml:space="preserve">Rationaliser et simplifier les procédures administratives pour les individus et entités souhaitant adopter des technologies à base de biogaz à des fins d'utilisation domestique ou industrielle/commerciale, dans l'optique de réduire la pression exercée sur les ressources forestières afin de satisfaire leurs besoins en services énergétiques ;  </w:t>
      </w:r>
    </w:p>
    <w:p w:rsidR="00AC6934" w:rsidRPr="001F1343" w:rsidRDefault="00AC6934" w:rsidP="000C4537">
      <w:pPr>
        <w:pStyle w:val="Paragraphedeliste"/>
        <w:numPr>
          <w:ilvl w:val="0"/>
          <w:numId w:val="16"/>
        </w:numPr>
        <w:autoSpaceDE w:val="0"/>
        <w:autoSpaceDN w:val="0"/>
        <w:adjustRightInd w:val="0"/>
        <w:spacing w:after="0"/>
        <w:ind w:right="-630" w:firstLine="0"/>
        <w:rPr>
          <w:rFonts w:ascii="Times New Roman" w:hAnsi="Times New Roman"/>
          <w:szCs w:val="22"/>
        </w:rPr>
      </w:pPr>
      <w:r>
        <w:rPr>
          <w:rFonts w:ascii="Times New Roman" w:hAnsi="Times New Roman"/>
        </w:rPr>
        <w:t xml:space="preserve">Créer des conditions et modalités commerciales attractives et concurrentielles pour les investisseurs, par exemple proposer des mesures incitatives financières afin de développer et de mettre en œuvre le projet, ce qui assurera la stabilité à long terme des promoteurs ainsi qu'un retour sur investissement suffisant, dans tous les cas de figure ; et </w:t>
      </w:r>
    </w:p>
    <w:p w:rsidR="00AC6934" w:rsidRPr="001F1343" w:rsidRDefault="00AC6934" w:rsidP="000C4537">
      <w:pPr>
        <w:pStyle w:val="Paragraphedeliste"/>
        <w:numPr>
          <w:ilvl w:val="0"/>
          <w:numId w:val="16"/>
        </w:numPr>
        <w:autoSpaceDE w:val="0"/>
        <w:autoSpaceDN w:val="0"/>
        <w:adjustRightInd w:val="0"/>
        <w:ind w:right="-630" w:firstLine="0"/>
        <w:rPr>
          <w:rFonts w:ascii="Times New Roman" w:hAnsi="Times New Roman"/>
          <w:b/>
          <w:smallCaps/>
          <w:szCs w:val="22"/>
        </w:rPr>
      </w:pPr>
      <w:r>
        <w:rPr>
          <w:rFonts w:ascii="Times New Roman" w:hAnsi="Times New Roman"/>
        </w:rPr>
        <w:t xml:space="preserve">Faciliter la mise en œuvre des technologies à base de biogaz dans le pays via une équipe de constructeurs et techniciens qualifiés qui assurerait une construction et un entretien de haute qualité des digesteurs et équipements connexes. </w:t>
      </w:r>
    </w:p>
    <w:p w:rsidR="00AC6934" w:rsidRPr="001F1343" w:rsidRDefault="00AC6934" w:rsidP="00AC6934">
      <w:pPr>
        <w:pStyle w:val="Paragraphedeliste"/>
        <w:autoSpaceDE w:val="0"/>
        <w:autoSpaceDN w:val="0"/>
        <w:adjustRightInd w:val="0"/>
        <w:ind w:left="0" w:right="-630"/>
        <w:rPr>
          <w:rFonts w:ascii="Times New Roman" w:hAnsi="Times New Roman"/>
          <w:smallCaps/>
          <w:szCs w:val="22"/>
        </w:rPr>
      </w:pPr>
    </w:p>
    <w:p w:rsidR="00AC6934" w:rsidRPr="001F1343" w:rsidRDefault="00AC6934" w:rsidP="00AC6934">
      <w:pPr>
        <w:pStyle w:val="Titre2"/>
        <w:ind w:left="-450"/>
        <w:rPr>
          <w:i w:val="0"/>
        </w:rPr>
      </w:pPr>
      <w:bookmarkStart w:id="22" w:name="_Toc262924484"/>
      <w:bookmarkStart w:id="23" w:name="_Toc418144241"/>
      <w:bookmarkStart w:id="24" w:name="_Toc298586290"/>
      <w:r>
        <w:rPr>
          <w:i w:val="0"/>
        </w:rPr>
        <w:t>Structure institutionnelle</w:t>
      </w:r>
      <w:bookmarkEnd w:id="22"/>
      <w:bookmarkEnd w:id="23"/>
      <w:bookmarkEnd w:id="24"/>
    </w:p>
    <w:p w:rsidR="00AC6934" w:rsidRPr="001F1343" w:rsidRDefault="00AC6934" w:rsidP="00AC6934">
      <w:pPr>
        <w:pStyle w:val="Paragraphedeliste"/>
        <w:spacing w:after="0"/>
        <w:ind w:left="-180"/>
        <w:rPr>
          <w:rFonts w:ascii="Times New Roman" w:hAnsi="Times New Roman"/>
          <w:szCs w:val="22"/>
        </w:rPr>
      </w:pPr>
    </w:p>
    <w:p w:rsidR="00AC6934" w:rsidRPr="001F1343" w:rsidRDefault="00AC6934" w:rsidP="00AC6934">
      <w:pPr>
        <w:ind w:left="-450" w:right="-630"/>
        <w:rPr>
          <w:rFonts w:ascii="Times New Roman" w:hAnsi="Times New Roman"/>
          <w:szCs w:val="22"/>
        </w:rPr>
      </w:pPr>
      <w:r>
        <w:rPr>
          <w:rFonts w:ascii="Times New Roman" w:hAnsi="Times New Roman"/>
        </w:rPr>
        <w:t>Le ministère de l'Environnement, des Eaux et Forêts est l'organe central responsable, entre autres choses, de la conception, la formulation et la mise en œuvre de la politique gouvernementale en matière de protection de l'environnement, de gestion rationnelle des ressources naturelles et d'amélioration de la qualité de vie, le tout dans une optique de développement durable. À cet effet, il est chargé de mettre en place une politique, des plans et des programmes assurant la promotion et « l'utilisation rationnelle des ressources énergétiques, le développement des sources d'énergie renouvelables », et de « participer à la promotion des sources énergétiques respectueuses de l'environnement ». Pour ce faire, il a le soutien de sa Direction nationale pour l'environnement et du Bureau pour la stratégie et le développement.</w:t>
      </w:r>
    </w:p>
    <w:p w:rsidR="00AC6934" w:rsidRPr="001F1343" w:rsidRDefault="00AC6934" w:rsidP="00AC6934">
      <w:pPr>
        <w:ind w:left="-450" w:right="-630"/>
        <w:rPr>
          <w:rFonts w:ascii="Times New Roman" w:hAnsi="Times New Roman"/>
          <w:szCs w:val="22"/>
        </w:rPr>
      </w:pPr>
    </w:p>
    <w:p w:rsidR="00AC6934" w:rsidRPr="001F1343" w:rsidRDefault="00AC6934" w:rsidP="00AC6934">
      <w:pPr>
        <w:ind w:left="-450" w:right="-630"/>
        <w:rPr>
          <w:rFonts w:ascii="Times New Roman" w:hAnsi="Times New Roman"/>
          <w:szCs w:val="22"/>
        </w:rPr>
      </w:pPr>
      <w:r>
        <w:rPr>
          <w:rFonts w:ascii="Times New Roman" w:hAnsi="Times New Roman"/>
        </w:rPr>
        <w:t xml:space="preserve">Ce projet vise à la création d'un marché efficace à des fins d'utilisation et de commercialisation généralisées de technologies à base de biogaz en Guinée à travers trois composantes interconnectées : 1) le développement d'un cadre politique, institutionnel, juridique et réglementaire adéquat ; 2) une chaîne d'approvisionnement en technologies à base </w:t>
      </w:r>
      <w:r>
        <w:rPr>
          <w:rFonts w:ascii="Times New Roman" w:hAnsi="Times New Roman"/>
        </w:rPr>
        <w:lastRenderedPageBreak/>
        <w:t>de biogaz durables et abordables ; et 3) des capacités et une sensibilisation accrues des IMF et des consommateurs afin d'adopter des technologies à base de biogaz et de miser sur les retombées économiques et environnementales en découlant. Ce projet se centrera sur le développement et l'utilisation de technologies à base de biogaz afin de remplacer la biomasse forestière à laquelle a recours la majorité des ménages guinéens pour la cuisine ainsi que les combustibles fossiles importés utilisés par certaines entreprises commerciales/industrielles pour la génération de chaleur et/ou d'électricité requise dans le cadre de leurs activités commerciales. L'on propose de réaliser cet objectif via la participation du secteur privé aux deux niveaux susmentionnés. Ce programme ne bénéficiera pas seulement aux ménages/petits exploitants et aux institutions commerciales/industrielles, mais mettra également en contact les institutions financières, les formateurs techniques et les organisations locales, afin de promouvoir la création de chaînes de distribution assurant le développement du marché du biogaz.</w:t>
      </w:r>
    </w:p>
    <w:p w:rsidR="00AC6934" w:rsidRPr="001F1343" w:rsidRDefault="00AC6934" w:rsidP="00AC6934">
      <w:pPr>
        <w:ind w:left="-450" w:right="-630"/>
        <w:rPr>
          <w:rFonts w:ascii="Times New Roman" w:hAnsi="Times New Roman"/>
          <w:szCs w:val="22"/>
        </w:rPr>
      </w:pPr>
    </w:p>
    <w:p w:rsidR="00AC6934" w:rsidRPr="001F1343" w:rsidRDefault="00AC6934" w:rsidP="00AC6934">
      <w:pPr>
        <w:spacing w:after="0"/>
        <w:ind w:left="-450" w:right="-608"/>
        <w:rPr>
          <w:rFonts w:ascii="Times New Roman" w:hAnsi="Times New Roman"/>
          <w:szCs w:val="22"/>
        </w:rPr>
      </w:pPr>
      <w:r>
        <w:rPr>
          <w:rFonts w:ascii="Times New Roman" w:hAnsi="Times New Roman"/>
        </w:rPr>
        <w:t>Le projet définira également un Mécanisme de soutien financier (FSM) avec l'Agence gouvernementale pour la microfinance afin de soutenir les ménages/investisseurs privés en leur octroyant une subvention à l'investissement visant à lancer le marché des technologies à base de biogaz. Le FSM procédera à des versements conformément aux critères qui seront définis lors de la mise en œuvre du projet.</w:t>
      </w:r>
    </w:p>
    <w:p w:rsidR="00AC6934" w:rsidRPr="001F1343" w:rsidRDefault="00AC6934" w:rsidP="00AC6934">
      <w:pPr>
        <w:spacing w:after="0"/>
        <w:ind w:left="-450" w:right="-608"/>
        <w:rPr>
          <w:rFonts w:ascii="Times New Roman" w:hAnsi="Times New Roman"/>
          <w:szCs w:val="22"/>
        </w:rPr>
      </w:pPr>
    </w:p>
    <w:p w:rsidR="00AC6934" w:rsidRPr="001F1343" w:rsidRDefault="00AC6934" w:rsidP="00AC6934">
      <w:pPr>
        <w:pStyle w:val="Titre2"/>
        <w:ind w:left="-450"/>
        <w:rPr>
          <w:i w:val="0"/>
        </w:rPr>
      </w:pPr>
      <w:bookmarkStart w:id="25" w:name="_Toc262924485"/>
      <w:bookmarkStart w:id="26" w:name="_Toc418144242"/>
      <w:bookmarkStart w:id="27" w:name="_Toc298586291"/>
      <w:r>
        <w:rPr>
          <w:i w:val="0"/>
        </w:rPr>
        <w:t>Appropriation nationale : éligibilité nationale et rôle moteur du pays</w:t>
      </w:r>
      <w:bookmarkEnd w:id="25"/>
      <w:bookmarkEnd w:id="26"/>
      <w:bookmarkEnd w:id="27"/>
    </w:p>
    <w:p w:rsidR="00AC6934" w:rsidRPr="001F1343" w:rsidRDefault="00AC6934" w:rsidP="00AC6934">
      <w:pPr>
        <w:spacing w:after="0"/>
      </w:pP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En 2007, le gouvernement a adopté une Politique énergétique nationale prévoyant les principales priorités suivantes :</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0C4537">
      <w:pPr>
        <w:pStyle w:val="Paragraphedeliste"/>
        <w:numPr>
          <w:ilvl w:val="0"/>
          <w:numId w:val="18"/>
        </w:numPr>
        <w:tabs>
          <w:tab w:val="left" w:pos="2160"/>
        </w:tabs>
        <w:ind w:right="-630"/>
        <w:rPr>
          <w:rFonts w:ascii="Times New Roman" w:hAnsi="Times New Roman"/>
          <w:bCs/>
          <w:szCs w:val="20"/>
        </w:rPr>
      </w:pPr>
      <w:r>
        <w:rPr>
          <w:rFonts w:ascii="Times New Roman" w:hAnsi="Times New Roman"/>
        </w:rPr>
        <w:t>Réforme institutionnelle d'Électricité de Guinée (EDG).</w:t>
      </w:r>
    </w:p>
    <w:p w:rsidR="00AC6934" w:rsidRPr="001F1343" w:rsidRDefault="00AC6934" w:rsidP="000C4537">
      <w:pPr>
        <w:pStyle w:val="Paragraphedeliste"/>
        <w:numPr>
          <w:ilvl w:val="0"/>
          <w:numId w:val="18"/>
        </w:numPr>
        <w:tabs>
          <w:tab w:val="left" w:pos="2160"/>
        </w:tabs>
        <w:ind w:right="-630"/>
        <w:rPr>
          <w:rFonts w:ascii="Times New Roman" w:hAnsi="Times New Roman"/>
          <w:bCs/>
          <w:szCs w:val="20"/>
        </w:rPr>
      </w:pPr>
      <w:r>
        <w:rPr>
          <w:rFonts w:ascii="Times New Roman" w:hAnsi="Times New Roman"/>
        </w:rPr>
        <w:t>Création d'une architecture institutionnelle et organisationnelle visant à promouvoir l'utilisation des énergies renouvelables, le développement des biocarburants et l'accès aux services énergétiques en milieu rural.</w:t>
      </w:r>
    </w:p>
    <w:p w:rsidR="00AC6934" w:rsidRPr="001F1343" w:rsidRDefault="00AC6934" w:rsidP="000C4537">
      <w:pPr>
        <w:pStyle w:val="Paragraphedeliste"/>
        <w:numPr>
          <w:ilvl w:val="0"/>
          <w:numId w:val="18"/>
        </w:numPr>
        <w:tabs>
          <w:tab w:val="left" w:pos="2160"/>
        </w:tabs>
        <w:ind w:right="-630"/>
        <w:rPr>
          <w:rFonts w:ascii="Times New Roman" w:hAnsi="Times New Roman"/>
          <w:bCs/>
          <w:szCs w:val="20"/>
        </w:rPr>
      </w:pPr>
      <w:r>
        <w:rPr>
          <w:rFonts w:ascii="Times New Roman" w:hAnsi="Times New Roman"/>
        </w:rPr>
        <w:t>Développement d'une stratégie énergétique afin d'assurer la disponibilité de l'énergie dans les principales zones urbaines.</w:t>
      </w:r>
    </w:p>
    <w:p w:rsidR="00AC6934" w:rsidRPr="001F1343" w:rsidRDefault="00AC6934" w:rsidP="000C4537">
      <w:pPr>
        <w:pStyle w:val="Paragraphedeliste"/>
        <w:numPr>
          <w:ilvl w:val="0"/>
          <w:numId w:val="18"/>
        </w:numPr>
        <w:tabs>
          <w:tab w:val="left" w:pos="2160"/>
        </w:tabs>
        <w:ind w:right="-630"/>
        <w:rPr>
          <w:rFonts w:ascii="Times New Roman" w:hAnsi="Times New Roman"/>
          <w:bCs/>
          <w:szCs w:val="20"/>
        </w:rPr>
      </w:pPr>
      <w:r>
        <w:rPr>
          <w:rFonts w:ascii="Times New Roman" w:hAnsi="Times New Roman"/>
        </w:rPr>
        <w:t>Participation du secteur privé dans la production d'énergies décentralisées et hors réseau.</w:t>
      </w:r>
    </w:p>
    <w:p w:rsidR="00AC6934" w:rsidRPr="001F1343" w:rsidRDefault="00AC6934" w:rsidP="000C4537">
      <w:pPr>
        <w:pStyle w:val="Paragraphedeliste"/>
        <w:numPr>
          <w:ilvl w:val="0"/>
          <w:numId w:val="18"/>
        </w:numPr>
        <w:tabs>
          <w:tab w:val="left" w:pos="2160"/>
        </w:tabs>
        <w:ind w:right="-630"/>
        <w:rPr>
          <w:rFonts w:ascii="Times New Roman" w:hAnsi="Times New Roman"/>
          <w:bCs/>
          <w:szCs w:val="20"/>
        </w:rPr>
      </w:pPr>
      <w:r>
        <w:rPr>
          <w:rFonts w:ascii="Times New Roman" w:hAnsi="Times New Roman"/>
        </w:rPr>
        <w:t>Définition de mesures institutionnelles garantissant la cohérence entre le développement énergétique et la hausse de la demande en énergie des ménages et industries (telles que l'industrie minière et de transformation).</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 xml:space="preserve">L'objectif de la Politique énergétique nationale a été précisé en 2009 dans un document intitulé « Lettre de politique de développement du secteur énergétique (LPDSE) » mis à jour en mai 2012 afin d'intégrer des éléments de l'initiative « Énergie durable pour tous », dans l'attente de son lancement en juin 2012 par le Secrétaire général des Nations Unies. Les objectifs de cette initiative sont de « garantir l'accès universel aux services énergétiques modernes », « doubler le taux d'amélioration de l'efficacité énergétique à l'échelle mondiale », et « doubler la part des énergies renouvelables dans le mix énergétique mondial ». </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 xml:space="preserve">Un solide appui aux énergies renouvelables fait partie intégrante de la stratégie énergétique nationale qui vise à permettre au pays de diversifier et de sécuriser son approvisionnement en énergie. En fait, la stratégie de mise en œuvre de la LPDSE envisage un développement sur 20 ans du secteur, axé sur l'approvisionnement et la demande en énergie, et inclut l'efficacité énergétique ainsi que le développement des énergies renouvelables. </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 xml:space="preserve">Le Document de stratégie pour la réduction de la pauvreté (DSRP III) 2012-2015 s'inspire des DRSP I et DRSP II afin de renforcer la démocratie, la stabilité macroéconomique, le développement humain et la gestion de l'environnement. Afin de satisfaire les besoins en énergie du pays à partir de la biomasse et des énergies renouvelables, le DSRP III souligne l'importance de « mettre l'accent sur des interventions liées à l'utilisation rationnelle des ressources forestières, poursuivre le programme relatif aux cuisinières améliorées, et promouvoir les énergies renouvelables (biogaz, énergie </w:t>
      </w:r>
      <w:r>
        <w:rPr>
          <w:rFonts w:ascii="Times New Roman" w:hAnsi="Times New Roman"/>
        </w:rPr>
        <w:lastRenderedPageBreak/>
        <w:t>solaire). La mise en œuvre de l'électrification rurale sera menée via la diffusion du modèle décentralisé testé avec succès ».</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De plus, avec l'appui de la BAD (Banque africaine de développement), la Guinée a effectué un exercice de formulation de Mesures d'atténuation adaptées au contexte national (MAAN) qui a débouché sur la publication en juillet 2012 du rapport MAAN. Le rapport identifie les secteurs dans lesquels il serait possible d'atténuer les effets du changement climatique, précise les scénarios d'atténuation et fournit une liste de projets à fort potentiel d'atténuation pouvant être mis en œuvre. L'exercice de formulation de MAAN s'est concentré sur les 6 secteurs suivants : énergie, agriculture, sylviculture (CATF et REDD), processus industriels, déchets et transport. Entre autres, les MAAN recommandent la formulation et la mise en œuvre de stratégies de développement des énergies renouvelables et de bonnes pratiques de gestion des déchets en matière de développement agricole via la production et l'utilisation du biogaz et du lisier en découlant.</w:t>
      </w: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Eu égard aux émissions de GES, la première communication nationale à la CCNUCC élaborée en août 2002 (la seconde communication nationale est toujours en cours d'élaboration) a indiqué que le secteur énergétique était le secteur qui produisait les principales émissions de gaz à effet de serre dans le pays, à savoir 11,24 millions tCO2 en 1994, sur un total de 14,27 millions tCO2 pour l'ensemble du pays. Toutefois, les capacités d'absorption du pays au cours de la même année s'élevaient à 17,60 millions tCO2, de sorte que la Guinée pouvait absorber les gaz à effet de serre. En l'absence de mesures d'atténuation et avec l'augmentation de la déforestation provoquée par la consommation de bois de chauffage pour la cuisine, on peut s’attendre à ce que les capacités d'absorption des forêts diminuent au cours des années à venir ; aucune prévision n'a toutefois été faite à cet effet. Par conséquent, le recours au biogaz pour la cuisine et l'éclairage au niveau domestique et pour la production d'eau chaude/d'électricité au niveau commercial/industriel, à des fins soit d'autoconsommation soit d'approvisionnement des réseaux dans le cas de l'électricité, constitue l'une des options envisageables parmi toute une panoplie de mesures que souhaite adopter le gouvernement afin d'inverser la tendance à l'augmentation des émissions de GES liées au secteur énergétique domestique/commercial/industriel. En fait, la première communication nationale a proposé les trois principales mesures d'atténuation suivantes dans le but de réduire les émissions de GES dans le secteur énergétique : l'utilisation de panneaux solaires photovoltaïques pour l'éclairage, la promotion du biogaz en milieu rural et la promotion du GPL en milieu urbain.</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AC6934">
      <w:pPr>
        <w:tabs>
          <w:tab w:val="left" w:pos="2160"/>
        </w:tabs>
        <w:ind w:left="-450" w:right="-630"/>
        <w:rPr>
          <w:rFonts w:ascii="Times New Roman" w:hAnsi="Times New Roman"/>
          <w:bCs/>
          <w:szCs w:val="20"/>
        </w:rPr>
      </w:pPr>
      <w:r>
        <w:rPr>
          <w:rFonts w:ascii="Times New Roman" w:hAnsi="Times New Roman"/>
        </w:rPr>
        <w:t>Enfin, la Guinée, en tant que membre de la CEDEAO (Communauté économique des États de l'Afrique de l'Ouest), souscrit au Livre blanc pour une Politique énergétique régionale de janvier 2006 (adopté par les chefs d'État et du gouvernement des 15 États membres de la CEDEAO) axé sur le renforcement de l'accès aux services énergétiques pour les populations vivant en milieu rural et périurbain à des fins de réduction de la pauvreté, estimant que sa mise en œuvre entraînerait une accélération du processus de développement menant à la réalisation des OMD. À cet égard, la Politique de la CEDEAO pour les énergies renouvelables (EREP) formulée en octobre 2012 (version finale) propose, entre autres choses, la mise en place d'installations de biogaz afin de « promouvoir l'utilisation efficace de l'énergie domestique (bois de chauffage, gaz (biogaz) et kérosène) » et « d'alimenter (en électricité) les mini-réseaux » en vertu du PRONIASE (Programme national intégré d'accès aux services énergétiques) qui auraient directement couvert 3,8 millions d'habitants, soit 36 % de la population totale, à la fois en milieu rural et périurbain. Conformément à la Composante 3 du PRONIASE relative aux combustibles à des fins d'usage domestique et d'efficacité énergétique, le PNUD a mis au point les 3 sous-programmes suivants : (i) Étude sur le potentiel en bioénergie de la Guinée ; (ii) Stratégie nationale pour le développement des biocarburants en Guinée : et (iii) Programme national de biogaz domestique en Guinée. Toutefois, le PRONIASE n'a jamais réellement vu le jour en raison de son incapacité à développer des partenariats et à mobiliser des ressources.</w:t>
      </w:r>
    </w:p>
    <w:p w:rsidR="00AC6934" w:rsidRPr="001F1343" w:rsidRDefault="00AC6934" w:rsidP="00AC6934">
      <w:pPr>
        <w:tabs>
          <w:tab w:val="left" w:pos="2160"/>
        </w:tabs>
        <w:ind w:left="-450" w:right="-630"/>
        <w:rPr>
          <w:rFonts w:ascii="Times New Roman" w:hAnsi="Times New Roman"/>
          <w:bCs/>
          <w:szCs w:val="20"/>
        </w:rPr>
      </w:pPr>
    </w:p>
    <w:p w:rsidR="00AC6934" w:rsidRPr="001F1343" w:rsidRDefault="00AC6934" w:rsidP="00AC6934">
      <w:pPr>
        <w:pStyle w:val="Titre2"/>
        <w:ind w:left="-450"/>
        <w:rPr>
          <w:i w:val="0"/>
        </w:rPr>
      </w:pPr>
      <w:bookmarkStart w:id="28" w:name="_Toc262924486"/>
      <w:bookmarkStart w:id="29" w:name="_Toc418144243"/>
      <w:bookmarkStart w:id="30" w:name="_Toc298586292"/>
      <w:r>
        <w:rPr>
          <w:i w:val="0"/>
        </w:rPr>
        <w:t>Principes de conception et considérations stratégiques</w:t>
      </w:r>
      <w:bookmarkEnd w:id="28"/>
      <w:bookmarkEnd w:id="29"/>
      <w:bookmarkEnd w:id="30"/>
    </w:p>
    <w:p w:rsidR="00AC6934" w:rsidRPr="001F1343" w:rsidRDefault="00AC6934" w:rsidP="00AC6934">
      <w:pPr>
        <w:spacing w:after="0"/>
      </w:pPr>
    </w:p>
    <w:p w:rsidR="00AC6934" w:rsidRPr="001F1343" w:rsidRDefault="00AC6934" w:rsidP="00AC6934">
      <w:pPr>
        <w:pStyle w:val="Paragraphedeliste"/>
        <w:ind w:left="-450" w:right="-630"/>
        <w:rPr>
          <w:rFonts w:ascii="Times New Roman" w:hAnsi="Times New Roman"/>
          <w:szCs w:val="22"/>
        </w:rPr>
      </w:pPr>
      <w:r>
        <w:rPr>
          <w:rFonts w:ascii="Times New Roman" w:hAnsi="Times New Roman"/>
        </w:rPr>
        <w:t xml:space="preserve">Le projet adoptera une nouvelle approche permettant au secteur privé (et y compris les ménages individuels privés) de mener l'initiative visant à développer et installer des digesteurs à biogaz en Guinée ; le rôle crucial du gouvernement consistera à créer un environnement propice à la réussite de cette modalité portée par le secteur privé. Conformément </w:t>
      </w:r>
      <w:r>
        <w:rPr>
          <w:rFonts w:ascii="Times New Roman" w:hAnsi="Times New Roman"/>
        </w:rPr>
        <w:lastRenderedPageBreak/>
        <w:t>aux exigences du FEM, « l'accent sera mis sur le développement de politiques et cadres règlementaires assurant un soutien croissant limité à des investissements importants d'un point de vie stratégique », tels que des investissements visant à réduire la déforestation liée à une consommation élevée en bois de chauffage, principalement pour la cuisine, en encourageant l'utilisation du biogaz, permettant ainsi au pays de fournir des services énergétiques modernes à la majorité de la population dans un souci de respect de l'environnement et du climat. En outre, « la volonté du pays hôte d'adopter des politiques favorables et de poursuivre les initiatives engagées » a été prouvée par le gouvernement via l'approbation de la Politique énergétique nationale en 2007, mise à jour en 2009 et 2012, afin, entre autres choses, de « mettre en place une architecture institutionnelle et organisationnelle visant à promouvoir l'utilisation des énergies renouvelables, le développement des biocarburants et l'accès aux services énergétiques en milieu rural ». Ainsi, le projet aidera le gouvernement à atteindre les objectifs de la Politique énergétique nationale via la conception et l'adoption de politiques/règlementations et la mise à disposition de mesures incitatives financières visant à promouvoir l'utilisation du biogaz dans le pays.</w:t>
      </w:r>
    </w:p>
    <w:p w:rsidR="00AC6934" w:rsidRPr="001F1343" w:rsidRDefault="00AC6934" w:rsidP="00AC6934">
      <w:pPr>
        <w:autoSpaceDE w:val="0"/>
        <w:autoSpaceDN w:val="0"/>
        <w:adjustRightInd w:val="0"/>
        <w:spacing w:after="0"/>
        <w:ind w:left="-450" w:right="-630"/>
        <w:rPr>
          <w:rFonts w:ascii="Times New Roman" w:hAnsi="Times New Roman"/>
          <w:szCs w:val="22"/>
        </w:rPr>
      </w:pPr>
    </w:p>
    <w:p w:rsidR="00AC6934" w:rsidRPr="001F1343" w:rsidRDefault="00AC6934" w:rsidP="00AC6934">
      <w:pPr>
        <w:pStyle w:val="Titre2"/>
        <w:ind w:left="-450"/>
        <w:rPr>
          <w:i w:val="0"/>
        </w:rPr>
      </w:pPr>
      <w:bookmarkStart w:id="31" w:name="_Toc262924487"/>
      <w:bookmarkStart w:id="32" w:name="_Toc418144244"/>
      <w:bookmarkStart w:id="33" w:name="_Toc298586293"/>
      <w:r>
        <w:rPr>
          <w:i w:val="0"/>
        </w:rPr>
        <w:t>Objectif, résultats et produits/activités du projet</w:t>
      </w:r>
      <w:bookmarkEnd w:id="31"/>
      <w:bookmarkEnd w:id="32"/>
      <w:bookmarkEnd w:id="33"/>
    </w:p>
    <w:p w:rsidR="00AC6934" w:rsidRPr="001F1343" w:rsidRDefault="00AC6934" w:rsidP="00AC6934"/>
    <w:p w:rsidR="00AC6934" w:rsidRPr="001F1343" w:rsidRDefault="00AC6934" w:rsidP="00AC6934">
      <w:pPr>
        <w:autoSpaceDE w:val="0"/>
        <w:autoSpaceDN w:val="0"/>
        <w:adjustRightInd w:val="0"/>
        <w:spacing w:after="0"/>
        <w:ind w:left="-450" w:right="-630"/>
        <w:rPr>
          <w:rFonts w:ascii="Times New Roman" w:hAnsi="Times New Roman"/>
          <w:szCs w:val="22"/>
        </w:rPr>
      </w:pPr>
      <w:r>
        <w:rPr>
          <w:rFonts w:ascii="Times New Roman" w:hAnsi="Times New Roman"/>
        </w:rPr>
        <w:t xml:space="preserve">L'objectif du projet consiste à contribuer à la réduction de la croissance des émissions de GES liées à la consommation d'énergie à usage domestique. Il établira un marché viable et efficace pour la commercialisation et l'utilisation généralisées de technologies à base de biogaz en Guinée et il propose, pour ce faire, la création de 3 marchés distincts mais interconnectés, à savoir les digesteurs domestiques (de format familial), les digesteurs commerciaux/industriels et le développement de capacités sur le marché interne à des fins de fabrication et d'installation de digesteurs. Le projet est axé sur le développement du biogaz afin de remplacer le bois de chauffage utilisé pour la cuisine/l'éclairage dans le but de satisfaire les besoins de 100 % des ménages ruraux et 20 % des ménages urbains qui n'ont pas accès aux services énergétiques modernes et ont recours à la biomasse pour leurs besoins en cuisine/éclairage. </w:t>
      </w:r>
    </w:p>
    <w:p w:rsidR="00AC6934" w:rsidRPr="001F1343" w:rsidRDefault="00AC6934" w:rsidP="00AC6934">
      <w:pPr>
        <w:autoSpaceDE w:val="0"/>
        <w:autoSpaceDN w:val="0"/>
        <w:adjustRightInd w:val="0"/>
        <w:spacing w:after="0"/>
        <w:ind w:left="-450" w:right="-630"/>
        <w:rPr>
          <w:rFonts w:ascii="Times New Roman" w:hAnsi="Times New Roman"/>
          <w:szCs w:val="22"/>
        </w:rPr>
      </w:pPr>
    </w:p>
    <w:p w:rsidR="00AC6934" w:rsidRPr="001F1343" w:rsidRDefault="00AC6934" w:rsidP="00AC6934">
      <w:pPr>
        <w:autoSpaceDE w:val="0"/>
        <w:autoSpaceDN w:val="0"/>
        <w:adjustRightInd w:val="0"/>
        <w:spacing w:after="0"/>
        <w:ind w:left="-450" w:right="-630"/>
        <w:rPr>
          <w:rFonts w:ascii="Times New Roman" w:hAnsi="Times New Roman"/>
          <w:szCs w:val="22"/>
        </w:rPr>
      </w:pPr>
      <w:r>
        <w:rPr>
          <w:rFonts w:ascii="Times New Roman" w:hAnsi="Times New Roman"/>
        </w:rPr>
        <w:t xml:space="preserve">Le projet définira également un Mécanisme de soutien financier (FSM) avec l'Agence gouvernementale pour la microfinance afin de soutenir les ménages/investisseurs privés en leur octroyant une subvention à l’investissement visant au démarrage du marché des technologies à base de biogaz. Le FSM procédera à des versements conformément à un ensemble de critères qui seront définis lors de la mise en œuvre du projet. </w:t>
      </w:r>
    </w:p>
    <w:p w:rsidR="00AC6934" w:rsidRPr="001F1343" w:rsidRDefault="00AC6934" w:rsidP="00AC6934">
      <w:pPr>
        <w:autoSpaceDE w:val="0"/>
        <w:autoSpaceDN w:val="0"/>
        <w:adjustRightInd w:val="0"/>
        <w:spacing w:after="0"/>
        <w:ind w:left="-450" w:right="-630"/>
        <w:rPr>
          <w:rFonts w:ascii="Times New Roman" w:hAnsi="Times New Roman"/>
          <w:szCs w:val="22"/>
        </w:rPr>
      </w:pPr>
    </w:p>
    <w:p w:rsidR="00AC6934" w:rsidRPr="001F1343" w:rsidRDefault="00AC6934" w:rsidP="00AC6934">
      <w:pPr>
        <w:autoSpaceDE w:val="0"/>
        <w:autoSpaceDN w:val="0"/>
        <w:adjustRightInd w:val="0"/>
        <w:spacing w:after="0"/>
        <w:ind w:left="-450" w:right="-630"/>
        <w:rPr>
          <w:rFonts w:ascii="Times New Roman" w:hAnsi="Times New Roman"/>
          <w:szCs w:val="22"/>
        </w:rPr>
      </w:pPr>
      <w:r>
        <w:rPr>
          <w:rFonts w:ascii="Times New Roman" w:hAnsi="Times New Roman"/>
        </w:rPr>
        <w:t>Le ministère de l'Environnement, des Eaux et Forêts (MEEF), organe central responsable, entre autres, de la conception, la formulation et la mise en œuvre de la politique du gouvernement en matière de protection de l'environnement, de gestion rationnelle des ressources naturelles et d'amélioration de la qualité de vie, le tout dans une optique de développement durable, sera chargé de la mise en œuvre du présent projet. À cette fin, il sera soutenu par sa Direction nationale pour l'environnement et le Bureau pour la stratégie et le développement, et travaillera en étroite collaboration avec le ministère de l'Énergie et de l'Hydraulique, le ministère de l'Agriculture, le ministère de l'Élevage et des Productions animales, et le CERESCOR.</w:t>
      </w:r>
    </w:p>
    <w:p w:rsidR="00AC6934" w:rsidRPr="001F1343" w:rsidRDefault="00AC6934" w:rsidP="00AC6934">
      <w:pPr>
        <w:autoSpaceDE w:val="0"/>
        <w:autoSpaceDN w:val="0"/>
        <w:adjustRightInd w:val="0"/>
        <w:spacing w:after="0"/>
        <w:ind w:left="-360" w:right="-630"/>
        <w:rPr>
          <w:rFonts w:ascii="Times New Roman" w:hAnsi="Times New Roman"/>
          <w:szCs w:val="22"/>
        </w:rPr>
      </w:pPr>
    </w:p>
    <w:p w:rsidR="00AC6934" w:rsidRPr="001F1343" w:rsidRDefault="00AC6934" w:rsidP="00AC6934">
      <w:pPr>
        <w:autoSpaceDE w:val="0"/>
        <w:autoSpaceDN w:val="0"/>
        <w:adjustRightInd w:val="0"/>
        <w:spacing w:after="0"/>
        <w:ind w:left="-450" w:right="-630"/>
        <w:rPr>
          <w:rFonts w:ascii="Times New Roman" w:hAnsi="Times New Roman"/>
          <w:color w:val="FF0000"/>
          <w:szCs w:val="22"/>
        </w:rPr>
      </w:pPr>
      <w:r>
        <w:rPr>
          <w:rFonts w:ascii="Times New Roman" w:hAnsi="Times New Roman"/>
        </w:rPr>
        <w:t>Le projet comprend les trois composantes indiquées ci-dessous. Il est entendu qu'une formation sur le terrain sera assurée par les consultants engagés, tant locaux qu'internationaux, dans le cadre normal de leur soutien aux activités du projet concernées, et qu'une stratégie de communication sera formulée afin de tenir les parties prenantes informées de la mise en œuvre du projet. Cela se fera en sus des Composantes 2 et 3 qui, respectivement, ont trait au développement des capacités en matière financière et technique tel que requis par les principaux clients et les institutions financières. De plus, le projet veillera à l'égalité entre les sexes en habilitant les femmes à participer pleinement à l'ensemble des activités du projet, et notamment à celles liées au développement des capacités dans le cadre des différentes composantes. Cet objectif sera atteint via la collaboration avec, par exemple, des ONG telles que l'Association pour la promotion des énergies renouvelables, l'Organisation nationale pour la formation professionnelle, la Confédération nationale des organisations paysannes, l'Association professionnelle des institutions de microfinance, l'Association des femmes pour le développement durable, etc.</w:t>
      </w:r>
    </w:p>
    <w:p w:rsidR="00AC6934" w:rsidRPr="001F1343" w:rsidRDefault="00AC6934" w:rsidP="00AC6934">
      <w:pPr>
        <w:autoSpaceDE w:val="0"/>
        <w:autoSpaceDN w:val="0"/>
        <w:adjustRightInd w:val="0"/>
        <w:spacing w:after="0"/>
        <w:ind w:left="-450" w:right="-630"/>
        <w:rPr>
          <w:rFonts w:ascii="Times New Roman" w:hAnsi="Times New Roman"/>
          <w:szCs w:val="22"/>
        </w:rPr>
      </w:pPr>
    </w:p>
    <w:p w:rsidR="00AC6934" w:rsidRPr="001F1343" w:rsidRDefault="00AC6934" w:rsidP="00AC6934">
      <w:pPr>
        <w:autoSpaceDE w:val="0"/>
        <w:autoSpaceDN w:val="0"/>
        <w:adjustRightInd w:val="0"/>
        <w:spacing w:after="0"/>
        <w:ind w:left="-450" w:right="-630"/>
        <w:rPr>
          <w:rFonts w:ascii="Times New Roman" w:hAnsi="Times New Roman"/>
          <w:b/>
          <w:szCs w:val="22"/>
        </w:rPr>
      </w:pPr>
      <w:r>
        <w:rPr>
          <w:rFonts w:ascii="Times New Roman" w:hAnsi="Times New Roman"/>
          <w:b/>
        </w:rPr>
        <w:lastRenderedPageBreak/>
        <w:t xml:space="preserve">Composante 1 : Formuler un cadre politique, institutionnel, juridique et règlementaire simplifié pour l'utilisation du biogaz en tant que source durable d'énergie renouvelable.  </w:t>
      </w:r>
    </w:p>
    <w:p w:rsidR="00AC6934" w:rsidRPr="001F1343" w:rsidRDefault="00AC6934" w:rsidP="00AC6934">
      <w:pPr>
        <w:autoSpaceDE w:val="0"/>
        <w:autoSpaceDN w:val="0"/>
        <w:adjustRightInd w:val="0"/>
        <w:spacing w:after="0"/>
        <w:ind w:left="-450" w:right="-630"/>
        <w:rPr>
          <w:rFonts w:ascii="Times New Roman" w:hAnsi="Times New Roman"/>
          <w:szCs w:val="22"/>
        </w:rPr>
      </w:pPr>
    </w:p>
    <w:p w:rsidR="00AC6934" w:rsidRPr="001F1343" w:rsidRDefault="00AC6934" w:rsidP="00AC6934">
      <w:pPr>
        <w:autoSpaceDE w:val="0"/>
        <w:autoSpaceDN w:val="0"/>
        <w:adjustRightInd w:val="0"/>
        <w:spacing w:after="200"/>
        <w:ind w:left="-450" w:right="-608"/>
        <w:rPr>
          <w:rFonts w:ascii="Times New Roman" w:hAnsi="Times New Roman"/>
          <w:szCs w:val="22"/>
        </w:rPr>
      </w:pPr>
      <w:r>
        <w:rPr>
          <w:rFonts w:ascii="Times New Roman" w:hAnsi="Times New Roman"/>
        </w:rPr>
        <w:t>Résultat 1 : Cadre politique et juridique/règlementaire simplifié et complet pour l'utilisation du biogaz en tant que source durable d'énergie renouvelable. Les résultats escomptés de cette composante sont les suivants :</w:t>
      </w:r>
    </w:p>
    <w:p w:rsidR="00AC6934" w:rsidRPr="001F1343" w:rsidRDefault="00AC6934" w:rsidP="000C4537">
      <w:pPr>
        <w:numPr>
          <w:ilvl w:val="0"/>
          <w:numId w:val="19"/>
        </w:numPr>
        <w:autoSpaceDE w:val="0"/>
        <w:autoSpaceDN w:val="0"/>
        <w:adjustRightInd w:val="0"/>
        <w:spacing w:after="200"/>
        <w:ind w:left="180" w:right="-608"/>
        <w:contextualSpacing/>
        <w:rPr>
          <w:rFonts w:ascii="Times New Roman" w:hAnsi="Times New Roman"/>
          <w:szCs w:val="22"/>
        </w:rPr>
      </w:pPr>
      <w:r>
        <w:rPr>
          <w:rFonts w:ascii="Times New Roman" w:hAnsi="Times New Roman"/>
        </w:rPr>
        <w:t xml:space="preserve">Formulation et mise en œuvre d'un cadre politique et juridique/règlementaire simplifié pour la production et l'utilisation de biogaz. La Politique énergétique nationale de 2007, mise à jour en 2012 afin d'intégrer des éléments de l'initiative « Énergie durable pour tous », préconise la participation du secteur privé à la production d'énergies décentralisées et hors réseau. Toutefois, elle ne traite pas de la question d'un cadre juridique et règlementaire adéquat pour l'utilisation des ressources en biomasse de manière intégrée, notamment eu égard aux </w:t>
      </w:r>
      <w:r w:rsidR="007562CF">
        <w:rPr>
          <w:rFonts w:ascii="Times New Roman" w:hAnsi="Times New Roman"/>
        </w:rPr>
        <w:t>bio digesteurs</w:t>
      </w:r>
      <w:r>
        <w:rPr>
          <w:rFonts w:ascii="Times New Roman" w:hAnsi="Times New Roman"/>
        </w:rPr>
        <w:t xml:space="preserve"> et au biogaz. Par conséquent, le projet révisera cette politique afin de déterminer les obstacles empêchant le secteur privé de jouer un rôle dans le développement du biogaz en Guinée. Ensuite, le projet élaborera un document de politique mettant en avant les mesures correctives nécessaires et proposera un cadre juridique/règlementaire d’orientation des investissements du secteur privé dans le domaine du développement de biogaz. Le projet sollicitera ensuite l'approbation du gouvernement pour rendre opérationnel l'ensemble de ces documents.</w:t>
      </w:r>
    </w:p>
    <w:p w:rsidR="00AC6934" w:rsidRPr="001F1343" w:rsidRDefault="00AC6934" w:rsidP="000C4537">
      <w:pPr>
        <w:numPr>
          <w:ilvl w:val="0"/>
          <w:numId w:val="19"/>
        </w:numPr>
        <w:autoSpaceDE w:val="0"/>
        <w:autoSpaceDN w:val="0"/>
        <w:adjustRightInd w:val="0"/>
        <w:spacing w:after="200"/>
        <w:ind w:left="180" w:right="-608"/>
        <w:contextualSpacing/>
        <w:rPr>
          <w:rFonts w:ascii="Times New Roman" w:hAnsi="Times New Roman"/>
          <w:szCs w:val="22"/>
        </w:rPr>
      </w:pPr>
      <w:r>
        <w:rPr>
          <w:rFonts w:ascii="Times New Roman" w:hAnsi="Times New Roman"/>
        </w:rPr>
        <w:t>Développement et renforcement des capacités des décideurs et des parties prenantes à prendre des initiatives visant à assurer la gestion intégrée d'un programme de développement et d'utilisation du biogaz. En consultation avec les décideurs et les parties prenantes, un programme de formation sera élaboré et une formation sera assurée afin de renforcer leur capacité à formuler et gérer un programme de biogaz. Ce programme visera, entre autres, à fournir aux ménages ruraux/périurbains du biogaz carburant propre à des fins de cuisine/d'éclairage, à réduire les corvées ingrates liées à la collecte du bois incombant aux filles/femmes en milieu rural, à réduire la pression exercée sur les forêts et accroître les avantages sociaux, à aider à lutter contre les conséquences du changement climatique en réduisant les émissions de GES, etc.</w:t>
      </w:r>
    </w:p>
    <w:p w:rsidR="00AC6934" w:rsidRPr="001F1343" w:rsidRDefault="00AC6934" w:rsidP="000C4537">
      <w:pPr>
        <w:numPr>
          <w:ilvl w:val="0"/>
          <w:numId w:val="19"/>
        </w:numPr>
        <w:autoSpaceDE w:val="0"/>
        <w:autoSpaceDN w:val="0"/>
        <w:adjustRightInd w:val="0"/>
        <w:spacing w:after="200"/>
        <w:ind w:left="180" w:right="-608"/>
        <w:contextualSpacing/>
        <w:rPr>
          <w:rFonts w:ascii="Times New Roman" w:hAnsi="Times New Roman"/>
          <w:szCs w:val="22"/>
        </w:rPr>
      </w:pPr>
      <w:r>
        <w:rPr>
          <w:rFonts w:ascii="Times New Roman" w:hAnsi="Times New Roman"/>
        </w:rPr>
        <w:t>Réalisation d'une évaluation de marché complète du potentiel de ressources en biogaz du pays et présentation d'options pour l'utilisation du biogaz et du lisier. Une enquête sera menée au niveau national afin de cartographier les ressources potentielles en biogaz à des fins d'utilisation domestique et commerciale/industrielle, et un plan par étapes sera formulé afin de mettre en œuvre un programme de biogaz complet sur tout le territoire guinéen. De plus, des options seront présentées pour l'utilisation du lisier, après transformation dans le biodigesteur, sous forme liquide, semi-solide et séchée en tant que nouvelle source d'amendement des sols et de substitut aux engrais chimiques importés.</w:t>
      </w:r>
    </w:p>
    <w:p w:rsidR="00AC6934" w:rsidRPr="001F1343" w:rsidRDefault="00AC6934" w:rsidP="00AC6934">
      <w:pPr>
        <w:autoSpaceDE w:val="0"/>
        <w:autoSpaceDN w:val="0"/>
        <w:adjustRightInd w:val="0"/>
        <w:spacing w:after="200"/>
        <w:ind w:left="180" w:right="-608"/>
        <w:contextualSpacing/>
        <w:rPr>
          <w:rFonts w:ascii="Times New Roman" w:hAnsi="Times New Roman"/>
          <w:szCs w:val="22"/>
        </w:rPr>
      </w:pPr>
      <w:r>
        <w:rPr>
          <w:rFonts w:ascii="Times New Roman" w:hAnsi="Times New Roman"/>
        </w:rPr>
        <w:t xml:space="preserve"> </w:t>
      </w:r>
    </w:p>
    <w:p w:rsidR="00AC6934" w:rsidRPr="001F1343" w:rsidRDefault="00AC6934" w:rsidP="00AC6934">
      <w:pPr>
        <w:tabs>
          <w:tab w:val="left" w:pos="-450"/>
        </w:tabs>
        <w:autoSpaceDE w:val="0"/>
        <w:autoSpaceDN w:val="0"/>
        <w:adjustRightInd w:val="0"/>
        <w:spacing w:after="200"/>
        <w:ind w:left="-450" w:right="-608"/>
        <w:rPr>
          <w:rFonts w:ascii="Times New Roman" w:hAnsi="Times New Roman"/>
          <w:b/>
          <w:szCs w:val="22"/>
        </w:rPr>
      </w:pPr>
      <w:r>
        <w:rPr>
          <w:rFonts w:ascii="Times New Roman" w:hAnsi="Times New Roman"/>
          <w:b/>
        </w:rPr>
        <w:t xml:space="preserve">Composante 2 : Encourager les investissements en technologies à base de biogaz via le recours à des mesures incitatives financières adéquates servant de catalyseurs aux promoteurs de projets. </w:t>
      </w:r>
    </w:p>
    <w:p w:rsidR="00AC6934" w:rsidRPr="001F1343" w:rsidRDefault="00AC6934" w:rsidP="00AC6934">
      <w:pPr>
        <w:tabs>
          <w:tab w:val="left" w:pos="-450"/>
        </w:tabs>
        <w:autoSpaceDE w:val="0"/>
        <w:autoSpaceDN w:val="0"/>
        <w:adjustRightInd w:val="0"/>
        <w:spacing w:after="200"/>
        <w:ind w:left="-450" w:right="-608"/>
        <w:rPr>
          <w:rFonts w:ascii="Times New Roman" w:hAnsi="Times New Roman"/>
          <w:szCs w:val="22"/>
        </w:rPr>
      </w:pPr>
      <w:r>
        <w:rPr>
          <w:rFonts w:ascii="Times New Roman" w:hAnsi="Times New Roman"/>
        </w:rPr>
        <w:t>Résultat 2 : Promotion des investissements en technologies à base de biogaz via le recours à des mesures incitatives financières adéquates servant de catalyseurs aux promoteurs de projets. Les résultats escomptés sont les suivants :</w:t>
      </w:r>
    </w:p>
    <w:p w:rsidR="00AC6934" w:rsidRPr="001F1343" w:rsidRDefault="00AC6934" w:rsidP="000C4537">
      <w:pPr>
        <w:numPr>
          <w:ilvl w:val="0"/>
          <w:numId w:val="20"/>
        </w:numPr>
        <w:autoSpaceDE w:val="0"/>
        <w:autoSpaceDN w:val="0"/>
        <w:adjustRightInd w:val="0"/>
        <w:spacing w:after="200"/>
        <w:ind w:left="180" w:right="-608"/>
        <w:contextualSpacing/>
        <w:rPr>
          <w:rFonts w:ascii="Times New Roman" w:hAnsi="Times New Roman"/>
          <w:szCs w:val="22"/>
        </w:rPr>
      </w:pPr>
      <w:r>
        <w:rPr>
          <w:rFonts w:ascii="Times New Roman" w:hAnsi="Times New Roman"/>
        </w:rPr>
        <w:t>Définition d'un mécanisme de soutien financier afin de soutenir les investissements en technologies à base de biogaz aux niveaux domestique, institutionnel, commercial et industriel. Il s’agit, entre autres, de l'élaboration de règles et règlements de mise en place du FSM, de l'obtention de toute approbation requise par les autorités gouvernementales pour sa mise en place, et de la définition du processus à suivre pour des demandes de nouvelle capitalisation du FSM auprès des donateurs.</w:t>
      </w:r>
    </w:p>
    <w:p w:rsidR="00AC6934" w:rsidRPr="001F1343" w:rsidRDefault="00AC6934" w:rsidP="000C4537">
      <w:pPr>
        <w:numPr>
          <w:ilvl w:val="0"/>
          <w:numId w:val="20"/>
        </w:numPr>
        <w:autoSpaceDE w:val="0"/>
        <w:autoSpaceDN w:val="0"/>
        <w:adjustRightInd w:val="0"/>
        <w:spacing w:after="200"/>
        <w:ind w:left="180" w:right="-608"/>
        <w:contextualSpacing/>
        <w:rPr>
          <w:rFonts w:ascii="Times New Roman" w:hAnsi="Times New Roman"/>
          <w:szCs w:val="22"/>
        </w:rPr>
      </w:pPr>
      <w:r>
        <w:rPr>
          <w:rFonts w:ascii="Times New Roman" w:hAnsi="Times New Roman"/>
        </w:rPr>
        <w:t xml:space="preserve">Signature d'un mémorandum d'entente avec l'ANAMIF afin de définir l'objectif, le mécanisme de financement, les règles d'administration régissant le FSM. Le mémorandum d'entente précisera les responsabilités de l'ANAMIF et du PNUD en tant que </w:t>
      </w:r>
      <w:r w:rsidR="007562CF">
        <w:rPr>
          <w:rFonts w:ascii="Times New Roman" w:hAnsi="Times New Roman"/>
        </w:rPr>
        <w:t>Co gestionnaires</w:t>
      </w:r>
      <w:r>
        <w:rPr>
          <w:rFonts w:ascii="Times New Roman" w:hAnsi="Times New Roman"/>
        </w:rPr>
        <w:t xml:space="preserve"> du FSM, de l'ANAMIF en tant que dépositaire des fonds, et précisera les conditions qui devront être respectées pour le versement des fonds aux promoteurs de projets en vertu du FSM. </w:t>
      </w:r>
    </w:p>
    <w:p w:rsidR="00AC6934" w:rsidRPr="001F1343" w:rsidRDefault="00AC6934" w:rsidP="000C4537">
      <w:pPr>
        <w:numPr>
          <w:ilvl w:val="0"/>
          <w:numId w:val="20"/>
        </w:numPr>
        <w:autoSpaceDE w:val="0"/>
        <w:autoSpaceDN w:val="0"/>
        <w:adjustRightInd w:val="0"/>
        <w:spacing w:after="200"/>
        <w:ind w:left="180" w:right="-608"/>
        <w:contextualSpacing/>
        <w:rPr>
          <w:rFonts w:ascii="Times New Roman" w:hAnsi="Times New Roman"/>
          <w:szCs w:val="22"/>
        </w:rPr>
      </w:pPr>
      <w:r>
        <w:rPr>
          <w:rFonts w:ascii="Times New Roman" w:hAnsi="Times New Roman"/>
        </w:rPr>
        <w:t xml:space="preserve">Mesures incitatives financières et autres pour des applications de technologies à base de biogaz développées et mises en œuvre afin que le biogaz soit utilisé en tant que substitut à la biomasse ligneuse et aux engrais </w:t>
      </w:r>
      <w:r>
        <w:rPr>
          <w:rFonts w:ascii="Times New Roman" w:hAnsi="Times New Roman"/>
        </w:rPr>
        <w:lastRenderedPageBreak/>
        <w:t>chimiques. Ces mesures feront en particulier intervenir : la réduction/l'élimination des droits/taxes d'importation sur les équipements et pièces détachées, l'exonération de l'impôt sur le revenu pour une durée spécifique, la simplification des règlementations de changes, la simplification des procédures d'Étude d'impact environnemental (EIE) éventuellement requises pour les installations de biogaz à grande échelle, etc. Toutes ces mesures seront mises en œuvre par le MEEF en lien avec d'autres services gouvernementaux.</w:t>
      </w:r>
    </w:p>
    <w:p w:rsidR="00AC6934" w:rsidRPr="001F1343" w:rsidRDefault="00AC6934" w:rsidP="000C4537">
      <w:pPr>
        <w:numPr>
          <w:ilvl w:val="0"/>
          <w:numId w:val="20"/>
        </w:numPr>
        <w:autoSpaceDE w:val="0"/>
        <w:autoSpaceDN w:val="0"/>
        <w:adjustRightInd w:val="0"/>
        <w:spacing w:after="200"/>
        <w:ind w:left="180" w:right="-608"/>
        <w:contextualSpacing/>
        <w:rPr>
          <w:rFonts w:ascii="Times New Roman" w:hAnsi="Times New Roman"/>
          <w:szCs w:val="22"/>
        </w:rPr>
      </w:pPr>
      <w:r>
        <w:rPr>
          <w:rFonts w:ascii="Times New Roman" w:hAnsi="Times New Roman"/>
        </w:rPr>
        <w:t>Construction et installation de 2 000 petits digesteurs de format familial (6 m3). La construction de ces digesteurs débutera lors de la première année du projet et 2 000 digesteurs devraient être construits sur trois ans, tel qu'indiqué ci-dessous.</w:t>
      </w:r>
    </w:p>
    <w:p w:rsidR="00AC6934" w:rsidRPr="001F1343" w:rsidRDefault="00AC6934" w:rsidP="000C4537">
      <w:pPr>
        <w:numPr>
          <w:ilvl w:val="0"/>
          <w:numId w:val="20"/>
        </w:numPr>
        <w:autoSpaceDE w:val="0"/>
        <w:autoSpaceDN w:val="0"/>
        <w:adjustRightInd w:val="0"/>
        <w:spacing w:after="200"/>
        <w:ind w:left="180" w:right="-608"/>
        <w:contextualSpacing/>
        <w:rPr>
          <w:rFonts w:ascii="Times New Roman" w:hAnsi="Times New Roman"/>
          <w:szCs w:val="22"/>
        </w:rPr>
      </w:pPr>
      <w:r>
        <w:rPr>
          <w:rFonts w:ascii="Times New Roman" w:hAnsi="Times New Roman"/>
        </w:rPr>
        <w:t xml:space="preserve">Construction ou installation de 10 grands </w:t>
      </w:r>
      <w:r w:rsidR="007562CF">
        <w:rPr>
          <w:rFonts w:ascii="Times New Roman" w:hAnsi="Times New Roman"/>
        </w:rPr>
        <w:t>bio digesteurs</w:t>
      </w:r>
      <w:r>
        <w:rPr>
          <w:rFonts w:ascii="Times New Roman" w:hAnsi="Times New Roman"/>
        </w:rPr>
        <w:t xml:space="preserve"> (d'au moins 20 m3) par des clients commerciaux ou institutionnels ciblés (abattoirs, centres de santé et centres de formation professionnelle). Ces digesteurs seront construits lors des deuxième et troisième années du projet, encore une fois conformément au calendrier ci-dessous.</w:t>
      </w:r>
    </w:p>
    <w:p w:rsidR="00AC6934" w:rsidRPr="001F1343" w:rsidRDefault="00AC6934" w:rsidP="000C4537">
      <w:pPr>
        <w:numPr>
          <w:ilvl w:val="0"/>
          <w:numId w:val="20"/>
        </w:numPr>
        <w:autoSpaceDE w:val="0"/>
        <w:autoSpaceDN w:val="0"/>
        <w:adjustRightInd w:val="0"/>
        <w:spacing w:after="200"/>
        <w:ind w:left="180" w:right="-608"/>
        <w:contextualSpacing/>
        <w:rPr>
          <w:rFonts w:ascii="Times New Roman" w:hAnsi="Times New Roman"/>
          <w:szCs w:val="22"/>
        </w:rPr>
      </w:pPr>
      <w:r>
        <w:rPr>
          <w:rFonts w:ascii="Times New Roman" w:hAnsi="Times New Roman"/>
        </w:rPr>
        <w:t xml:space="preserve">Élaboration d'indicateurs spécifiques à des fins de suivi et d'évaluation des impacts du projet sur le volume de bois de chauffage/charbon et de diesel remplacé par la production et la consommation de biogaz, sur la quantité d'émissions de GES éliminées grâce à l'utilisation accrue de bouse de vache, déchets de cuisine, etc. pour la production de biogaz, et sur la création d'emplois dans le secteur du biogaz. </w:t>
      </w:r>
    </w:p>
    <w:p w:rsidR="00AC6934" w:rsidRPr="001F1343" w:rsidRDefault="00AC6934" w:rsidP="00AC6934">
      <w:pPr>
        <w:autoSpaceDE w:val="0"/>
        <w:autoSpaceDN w:val="0"/>
        <w:adjustRightInd w:val="0"/>
        <w:spacing w:after="200"/>
        <w:ind w:left="180" w:right="-608"/>
        <w:contextualSpacing/>
        <w:rPr>
          <w:rFonts w:ascii="Times New Roman" w:hAnsi="Times New Roman"/>
          <w:szCs w:val="22"/>
        </w:rPr>
      </w:pPr>
    </w:p>
    <w:p w:rsidR="00AC6934" w:rsidRPr="001F1343" w:rsidRDefault="00AC6934" w:rsidP="00AC6934">
      <w:pPr>
        <w:spacing w:after="200"/>
        <w:ind w:left="-450" w:right="-608"/>
        <w:rPr>
          <w:rFonts w:ascii="Times New Roman" w:hAnsi="Times New Roman"/>
          <w:szCs w:val="22"/>
        </w:rPr>
      </w:pPr>
      <w:r>
        <w:rPr>
          <w:rFonts w:ascii="Times New Roman" w:hAnsi="Times New Roman"/>
        </w:rPr>
        <w:t>Les 2 000 digesteurs de petite taille/domestiques (d'une capacité de 6 m3) seront détenus par les propriétaires individuels et le gaz produit sera utilisé pour la cuisine et l'éclairage dans des lampes à gaz. Chaque ménage se chargera de l'exploitation/la gestion de son propre digesteur. Quant aux digesteurs institutionnels (à grande échelle), leur gestion sera assurée par les institutions qui en sont propriétaires. Dans les deux cas (digesteurs domestiques et à grande échelle), les propriétaires/exploitants recevront une formation et des techniciens qualifiés seront présents dans les villages en cas de panne.</w:t>
      </w:r>
    </w:p>
    <w:p w:rsidR="00AC6934" w:rsidRPr="001F1343" w:rsidRDefault="00AC6934" w:rsidP="00AC6934">
      <w:pPr>
        <w:spacing w:after="200"/>
        <w:ind w:left="-450" w:right="-608"/>
        <w:rPr>
          <w:rFonts w:ascii="Times New Roman" w:hAnsi="Times New Roman"/>
          <w:szCs w:val="22"/>
        </w:rPr>
      </w:pPr>
      <w:r>
        <w:rPr>
          <w:rFonts w:ascii="Times New Roman" w:hAnsi="Times New Roman"/>
        </w:rPr>
        <w:t>À l'occasion de l'examen du projet prévu à mi-parcours, une évaluation du FSM sera effectuée afin de veiller à ce qu'il fonctionne tel que prévu, et notamment à la baisse progressive de la subvention d'investissement et à son éventuelle suppression au fil du temps. L'examen de mi-parcours déterminera également le niveau du soutien aux futurs promoteurs de projets éventuellement nécessaire à l’issue du projet, en s’appuyant sur la dynamique qu'il a suscitée.</w:t>
      </w:r>
    </w:p>
    <w:p w:rsidR="00AC6934" w:rsidRPr="001F1343" w:rsidRDefault="00AC6934" w:rsidP="00AC6934">
      <w:pPr>
        <w:autoSpaceDE w:val="0"/>
        <w:autoSpaceDN w:val="0"/>
        <w:adjustRightInd w:val="0"/>
        <w:spacing w:after="200"/>
        <w:ind w:left="-450" w:right="-608"/>
        <w:rPr>
          <w:rFonts w:ascii="Times New Roman" w:hAnsi="Times New Roman"/>
          <w:b/>
          <w:szCs w:val="22"/>
        </w:rPr>
      </w:pPr>
      <w:r>
        <w:rPr>
          <w:rFonts w:ascii="Times New Roman" w:hAnsi="Times New Roman"/>
          <w:b/>
        </w:rPr>
        <w:t>Composante 3 : Définir un programme visant à soutenir la croissance d'un marché de fournisseurs et d'utilisateurs de biogaz et ses effluents, dans la perspective d’une amélioration globale des moyens de subsistance.</w:t>
      </w:r>
    </w:p>
    <w:p w:rsidR="00AC6934" w:rsidRPr="001F1343" w:rsidRDefault="00AC6934" w:rsidP="00AC6934">
      <w:pPr>
        <w:autoSpaceDE w:val="0"/>
        <w:autoSpaceDN w:val="0"/>
        <w:adjustRightInd w:val="0"/>
        <w:spacing w:after="200"/>
        <w:ind w:left="-450" w:right="-608"/>
        <w:rPr>
          <w:rFonts w:ascii="Times New Roman" w:hAnsi="Times New Roman"/>
          <w:szCs w:val="22"/>
        </w:rPr>
      </w:pPr>
      <w:r>
        <w:rPr>
          <w:rFonts w:ascii="Times New Roman" w:hAnsi="Times New Roman"/>
        </w:rPr>
        <w:t xml:space="preserve">Résultat 3 : </w:t>
      </w:r>
      <w:r>
        <w:rPr>
          <w:rFonts w:ascii="Times New Roman" w:hAnsi="Times New Roman"/>
          <w:color w:val="000000"/>
        </w:rPr>
        <w:t>Programme visant à soutenir la croissance d'un marché de fournisseurs et d'utilisateurs de biogaz et ses effluents, dans la perspective d’une amélioration globale des moyens de subsistance</w:t>
      </w:r>
      <w:r>
        <w:rPr>
          <w:rFonts w:ascii="Times New Roman" w:hAnsi="Times New Roman"/>
        </w:rPr>
        <w:t>. Les résultats escomptés sont les suivants :</w:t>
      </w:r>
    </w:p>
    <w:p w:rsidR="00AC6934" w:rsidRPr="001F1343" w:rsidRDefault="00AC6934" w:rsidP="000C4537">
      <w:pPr>
        <w:numPr>
          <w:ilvl w:val="0"/>
          <w:numId w:val="24"/>
        </w:numPr>
        <w:autoSpaceDE w:val="0"/>
        <w:autoSpaceDN w:val="0"/>
        <w:adjustRightInd w:val="0"/>
        <w:spacing w:after="200"/>
        <w:ind w:left="180" w:right="-601"/>
        <w:contextualSpacing/>
        <w:rPr>
          <w:rFonts w:ascii="Times New Roman" w:hAnsi="Times New Roman"/>
          <w:szCs w:val="22"/>
        </w:rPr>
      </w:pPr>
      <w:r>
        <w:rPr>
          <w:rFonts w:ascii="Times New Roman" w:hAnsi="Times New Roman"/>
        </w:rPr>
        <w:t xml:space="preserve">Développement des capacités de crédit des IMF/établissements de crédit aux consommateurs (agriculteurs)/propriétaires de digesteurs domestiques et à grande échelle. Les IMF/établissements de crédit recevront une formation en ce qui concerne les modalités d’application des critères et directives définis dans le cadre du projet afin de procéder à une évaluation technique des projets, de déterminer le crédit et le calendrier de remboursement adaptés à chaque client individuel ainsi que les directives que les établissements de crédit locaux peuvent souhaiter observer lors de l'évaluation de projets de biogaz plus importants à des fins de prêt. </w:t>
      </w:r>
    </w:p>
    <w:p w:rsidR="00AC6934" w:rsidRPr="001F1343" w:rsidRDefault="00AC6934" w:rsidP="000C4537">
      <w:pPr>
        <w:numPr>
          <w:ilvl w:val="0"/>
          <w:numId w:val="20"/>
        </w:numPr>
        <w:autoSpaceDE w:val="0"/>
        <w:autoSpaceDN w:val="0"/>
        <w:adjustRightInd w:val="0"/>
        <w:spacing w:after="200"/>
        <w:ind w:left="180" w:right="-601"/>
        <w:contextualSpacing/>
        <w:rPr>
          <w:rFonts w:ascii="Times New Roman" w:hAnsi="Times New Roman"/>
          <w:szCs w:val="22"/>
        </w:rPr>
      </w:pPr>
      <w:r>
        <w:rPr>
          <w:rFonts w:ascii="Times New Roman" w:hAnsi="Times New Roman"/>
        </w:rPr>
        <w:t xml:space="preserve">Conception des modules de formation à destination des principaux bénéficiaires (constructeurs de </w:t>
      </w:r>
      <w:r w:rsidR="007562CF">
        <w:rPr>
          <w:rFonts w:ascii="Times New Roman" w:hAnsi="Times New Roman"/>
        </w:rPr>
        <w:t>bios digesteurs</w:t>
      </w:r>
      <w:r>
        <w:rPr>
          <w:rFonts w:ascii="Times New Roman" w:hAnsi="Times New Roman"/>
        </w:rPr>
        <w:t>, producteurs de composants et techniciens d'entretien), y compris octroi de certifications et fourniture de programmes de formation complets.</w:t>
      </w:r>
      <w:r>
        <w:rPr>
          <w:rFonts w:ascii="Times New Roman" w:hAnsi="Times New Roman"/>
          <w:sz w:val="24"/>
        </w:rPr>
        <w:t xml:space="preserve"> </w:t>
      </w:r>
      <w:r>
        <w:rPr>
          <w:rFonts w:ascii="Times New Roman" w:hAnsi="Times New Roman"/>
        </w:rPr>
        <w:t xml:space="preserve">De plus, les constructeurs/maçons seront dotés de meilleures compétences commerciales afin d'exploiter leurs petites sociétés et de commercialiser les installations de biogaz. </w:t>
      </w:r>
    </w:p>
    <w:p w:rsidR="00AC6934" w:rsidRPr="001F1343" w:rsidRDefault="00AC6934" w:rsidP="000C4537">
      <w:pPr>
        <w:numPr>
          <w:ilvl w:val="0"/>
          <w:numId w:val="24"/>
        </w:numPr>
        <w:autoSpaceDE w:val="0"/>
        <w:autoSpaceDN w:val="0"/>
        <w:adjustRightInd w:val="0"/>
        <w:spacing w:after="200"/>
        <w:ind w:left="180" w:right="-601"/>
        <w:contextualSpacing/>
        <w:rPr>
          <w:rFonts w:ascii="Times New Roman" w:hAnsi="Times New Roman"/>
          <w:szCs w:val="22"/>
        </w:rPr>
      </w:pPr>
      <w:r>
        <w:rPr>
          <w:rFonts w:ascii="Times New Roman" w:hAnsi="Times New Roman"/>
        </w:rPr>
        <w:t xml:space="preserve">Développement des capacités des ménages agricoles ainsi que des institutions commerciales et industrielles à exploiter et entretenir les digesteurs à biogaz et à transformer le lisier issu des </w:t>
      </w:r>
      <w:r w:rsidR="007562CF">
        <w:rPr>
          <w:rFonts w:ascii="Times New Roman" w:hAnsi="Times New Roman"/>
        </w:rPr>
        <w:t>bio digesteurs</w:t>
      </w:r>
      <w:r>
        <w:rPr>
          <w:rFonts w:ascii="Times New Roman" w:hAnsi="Times New Roman"/>
        </w:rPr>
        <w:t xml:space="preserve"> en produits de qualité. Il fait intervenir une formation aux procédures à suivre en matière d'alimentation des digesteurs avec une combinaison adéquate ressources/eau, au traitement du lisier, aux procédures d'entretien, à l'utilis</w:t>
      </w:r>
      <w:r w:rsidR="007E7BF9">
        <w:rPr>
          <w:rFonts w:ascii="Times New Roman" w:hAnsi="Times New Roman"/>
        </w:rPr>
        <w:t>ation sûre du gaz produit, etc.</w:t>
      </w:r>
    </w:p>
    <w:p w:rsidR="00AC6934" w:rsidRPr="001F1343" w:rsidRDefault="00AC6934" w:rsidP="000C4537">
      <w:pPr>
        <w:numPr>
          <w:ilvl w:val="0"/>
          <w:numId w:val="24"/>
        </w:numPr>
        <w:autoSpaceDE w:val="0"/>
        <w:autoSpaceDN w:val="0"/>
        <w:adjustRightInd w:val="0"/>
        <w:spacing w:after="200"/>
        <w:ind w:left="180" w:right="-601"/>
        <w:contextualSpacing/>
        <w:rPr>
          <w:rFonts w:ascii="Times New Roman" w:hAnsi="Times New Roman"/>
          <w:szCs w:val="22"/>
        </w:rPr>
      </w:pPr>
      <w:r>
        <w:rPr>
          <w:rFonts w:ascii="Times New Roman" w:hAnsi="Times New Roman"/>
        </w:rPr>
        <w:lastRenderedPageBreak/>
        <w:t>Sensibilisation des principaux acteurs de la chaîne de valeur via des campagnes publiques mettant l'accent sur la valeur du biogaz et du lisier produit, ainsi que sur leur utilisation à des fins d'amélioration de la qualité de vie. Elle fait en particulier intervenir la préparation de supports promotionnels, des briefings sur les coûts engagés, l'exploitation, l'entretien et l'utilisation du gaz/lisier à destination des propriétaires potentiels de digesteurs, des réunions d'information avec les parties prenantes sur les meilleures pratiques/expériences et les enseignements tirés du projet, etc.</w:t>
      </w:r>
    </w:p>
    <w:p w:rsidR="00AC6934" w:rsidRPr="001F1343" w:rsidRDefault="00AC6934" w:rsidP="00AC6934">
      <w:pPr>
        <w:spacing w:after="0"/>
        <w:ind w:left="360"/>
        <w:contextualSpacing/>
        <w:jc w:val="center"/>
        <w:rPr>
          <w:rFonts w:ascii="Times New Roman" w:hAnsi="Times New Roman"/>
          <w:b/>
          <w:szCs w:val="22"/>
        </w:rPr>
      </w:pPr>
    </w:p>
    <w:p w:rsidR="00AC6934" w:rsidRPr="001F1343" w:rsidRDefault="00AC6934" w:rsidP="00AC6934">
      <w:pPr>
        <w:pStyle w:val="Titre2"/>
        <w:ind w:left="-450"/>
        <w:rPr>
          <w:i w:val="0"/>
        </w:rPr>
      </w:pPr>
      <w:bookmarkStart w:id="34" w:name="_Toc262924488"/>
      <w:bookmarkStart w:id="35" w:name="_Toc418144245"/>
      <w:bookmarkStart w:id="36" w:name="_Toc298586294"/>
      <w:r>
        <w:rPr>
          <w:i w:val="0"/>
        </w:rPr>
        <w:t>Indicateurs clés, hypothèses et risques</w:t>
      </w:r>
      <w:bookmarkEnd w:id="34"/>
      <w:bookmarkEnd w:id="35"/>
      <w:bookmarkEnd w:id="36"/>
    </w:p>
    <w:p w:rsidR="00AC6934" w:rsidRPr="001F1343" w:rsidRDefault="00AC6934" w:rsidP="00AC6934">
      <w:pPr>
        <w:ind w:right="-698"/>
        <w:rPr>
          <w:rFonts w:ascii="Times New Roman" w:hAnsi="Times New Roman"/>
          <w:szCs w:val="22"/>
          <w:u w:val="single"/>
        </w:rPr>
      </w:pPr>
    </w:p>
    <w:p w:rsidR="00AC6934" w:rsidRPr="001F1343" w:rsidRDefault="00AC6934" w:rsidP="00AC6934">
      <w:pPr>
        <w:ind w:right="4"/>
        <w:rPr>
          <w:rFonts w:ascii="Times New Roman" w:hAnsi="Times New Roman"/>
          <w:szCs w:val="22"/>
          <w:u w:val="single"/>
        </w:rPr>
      </w:pPr>
      <w:r>
        <w:rPr>
          <w:rFonts w:ascii="Times New Roman" w:hAnsi="Times New Roman"/>
          <w:u w:val="single"/>
        </w:rPr>
        <w:t xml:space="preserve">Indicateurs </w:t>
      </w:r>
    </w:p>
    <w:p w:rsidR="00AC6934" w:rsidRPr="001F1343" w:rsidRDefault="00AC6934" w:rsidP="00AC6934">
      <w:pPr>
        <w:ind w:right="4"/>
        <w:rPr>
          <w:rFonts w:ascii="Times New Roman" w:hAnsi="Times New Roman"/>
          <w:szCs w:val="22"/>
        </w:rPr>
      </w:pPr>
      <w:r>
        <w:rPr>
          <w:rFonts w:ascii="Times New Roman" w:hAnsi="Times New Roman"/>
        </w:rPr>
        <w:t>Les indicateurs clés de la réussite du projet sont entre autres les suivants :</w:t>
      </w:r>
    </w:p>
    <w:p w:rsidR="00AC6934" w:rsidRPr="001F1343" w:rsidRDefault="00AC6934" w:rsidP="000C4537">
      <w:pPr>
        <w:pStyle w:val="Paragraphedeliste"/>
        <w:numPr>
          <w:ilvl w:val="0"/>
          <w:numId w:val="25"/>
        </w:numPr>
        <w:ind w:left="1080" w:right="4"/>
        <w:rPr>
          <w:rFonts w:ascii="Times New Roman" w:hAnsi="Times New Roman"/>
          <w:szCs w:val="22"/>
        </w:rPr>
      </w:pPr>
      <w:r>
        <w:rPr>
          <w:rFonts w:ascii="Times New Roman" w:hAnsi="Times New Roman"/>
        </w:rPr>
        <w:t>L'installation de 2 000 digesteurs domestiques et 10 digesteurs commerciaux/industriels.</w:t>
      </w:r>
    </w:p>
    <w:p w:rsidR="00AC6934" w:rsidRPr="001F1343" w:rsidRDefault="00AC6934" w:rsidP="000C4537">
      <w:pPr>
        <w:pStyle w:val="Paragraphedeliste"/>
        <w:numPr>
          <w:ilvl w:val="0"/>
          <w:numId w:val="17"/>
        </w:numPr>
        <w:spacing w:after="0"/>
        <w:ind w:right="-608"/>
        <w:rPr>
          <w:rFonts w:ascii="Times New Roman" w:hAnsi="Times New Roman"/>
          <w:szCs w:val="22"/>
        </w:rPr>
      </w:pPr>
      <w:r>
        <w:rPr>
          <w:rFonts w:ascii="Times New Roman" w:hAnsi="Times New Roman"/>
        </w:rPr>
        <w:t>Une réduction des émissions de CO</w:t>
      </w:r>
      <w:r>
        <w:rPr>
          <w:rFonts w:ascii="Times New Roman" w:hAnsi="Times New Roman"/>
          <w:vertAlign w:val="subscript"/>
        </w:rPr>
        <w:t>2</w:t>
      </w:r>
      <w:r>
        <w:rPr>
          <w:rFonts w:ascii="Times New Roman" w:hAnsi="Times New Roman"/>
        </w:rPr>
        <w:t xml:space="preserve"> de 161 100 tonnes, dans l'hypothèse d’un cycle de vie de 20 ans de l’équipement.</w:t>
      </w:r>
    </w:p>
    <w:p w:rsidR="00AC6934" w:rsidRPr="001F1343" w:rsidRDefault="00AC6934" w:rsidP="000C4537">
      <w:pPr>
        <w:pStyle w:val="Paragraphedeliste"/>
        <w:numPr>
          <w:ilvl w:val="0"/>
          <w:numId w:val="17"/>
        </w:numPr>
        <w:spacing w:after="0"/>
        <w:ind w:right="-608"/>
        <w:rPr>
          <w:rFonts w:ascii="Times New Roman" w:hAnsi="Times New Roman"/>
          <w:szCs w:val="22"/>
        </w:rPr>
      </w:pPr>
      <w:r>
        <w:rPr>
          <w:rFonts w:ascii="Times New Roman" w:hAnsi="Times New Roman"/>
        </w:rPr>
        <w:t>Une réduction indirecte des émissions de CO</w:t>
      </w:r>
      <w:r>
        <w:rPr>
          <w:rFonts w:ascii="Times New Roman" w:hAnsi="Times New Roman"/>
          <w:vertAlign w:val="subscript"/>
        </w:rPr>
        <w:t>2</w:t>
      </w:r>
      <w:r>
        <w:rPr>
          <w:rFonts w:ascii="Times New Roman" w:hAnsi="Times New Roman"/>
        </w:rPr>
        <w:t xml:space="preserve"> après la fin du projet de 864 900 tonnes, là encore dans l'hypothèse d’un cycle de vie de l’équipement de 20 ans et d'un lien de causalité avec le FEM de 80 %.</w:t>
      </w:r>
    </w:p>
    <w:p w:rsidR="00AC6934" w:rsidRPr="001F1343" w:rsidRDefault="00AC6934" w:rsidP="000C4537">
      <w:pPr>
        <w:pStyle w:val="Paragraphedeliste"/>
        <w:numPr>
          <w:ilvl w:val="0"/>
          <w:numId w:val="17"/>
        </w:numPr>
        <w:spacing w:after="0"/>
        <w:ind w:right="-608"/>
        <w:rPr>
          <w:rFonts w:ascii="Times New Roman" w:hAnsi="Times New Roman"/>
          <w:b/>
          <w:color w:val="FF0000"/>
          <w:szCs w:val="22"/>
        </w:rPr>
      </w:pPr>
      <w:r>
        <w:rPr>
          <w:rFonts w:ascii="Times New Roman" w:hAnsi="Times New Roman"/>
        </w:rPr>
        <w:t>La génération de 10 051 575 m</w:t>
      </w:r>
      <w:r>
        <w:rPr>
          <w:rFonts w:ascii="Times New Roman" w:hAnsi="Times New Roman"/>
          <w:vertAlign w:val="superscript"/>
        </w:rPr>
        <w:t>3</w:t>
      </w:r>
      <w:r>
        <w:rPr>
          <w:rFonts w:ascii="Times New Roman" w:hAnsi="Times New Roman"/>
        </w:rPr>
        <w:t xml:space="preserve"> de biogaz d'un pouvoir calorifique de 23 MJ/m</w:t>
      </w:r>
      <w:r>
        <w:rPr>
          <w:rFonts w:ascii="Times New Roman" w:hAnsi="Times New Roman"/>
          <w:vertAlign w:val="superscript"/>
        </w:rPr>
        <w:t>3</w:t>
      </w:r>
      <w:r>
        <w:rPr>
          <w:rFonts w:ascii="Times New Roman" w:hAnsi="Times New Roman"/>
        </w:rPr>
        <w:t xml:space="preserve"> (équivalent à 64 270 MWh</w:t>
      </w:r>
      <w:r>
        <w:rPr>
          <w:rFonts w:ascii="Times New Roman" w:hAnsi="Times New Roman"/>
          <w:vertAlign w:val="subscript"/>
        </w:rPr>
        <w:t>TH</w:t>
      </w:r>
      <w:r>
        <w:rPr>
          <w:rFonts w:ascii="Times New Roman" w:hAnsi="Times New Roman"/>
        </w:rPr>
        <w:t>) d'ici à la fin du projet et la génération annuelle de 4 463 950 m</w:t>
      </w:r>
      <w:r>
        <w:rPr>
          <w:rFonts w:ascii="Times New Roman" w:hAnsi="Times New Roman"/>
          <w:vertAlign w:val="superscript"/>
        </w:rPr>
        <w:t>3</w:t>
      </w:r>
      <w:r>
        <w:rPr>
          <w:rFonts w:ascii="Times New Roman" w:hAnsi="Times New Roman"/>
        </w:rPr>
        <w:t xml:space="preserve"> de biogaz (équivalent à 28 542 MWh</w:t>
      </w:r>
      <w:r>
        <w:rPr>
          <w:rFonts w:ascii="Times New Roman" w:hAnsi="Times New Roman"/>
          <w:vertAlign w:val="subscript"/>
        </w:rPr>
        <w:t>TH</w:t>
      </w:r>
      <w:r>
        <w:rPr>
          <w:rFonts w:ascii="Times New Roman" w:hAnsi="Times New Roman"/>
        </w:rPr>
        <w:t>) dans l'hypothèse où les digesteurs installés dans le cadre du projet auraient un cycle de vie de 20 ans. (Les 10 051 575 m</w:t>
      </w:r>
      <w:r>
        <w:rPr>
          <w:rFonts w:ascii="Times New Roman" w:hAnsi="Times New Roman"/>
          <w:vertAlign w:val="superscript"/>
        </w:rPr>
        <w:t>3</w:t>
      </w:r>
      <w:r>
        <w:rPr>
          <w:rFonts w:ascii="Times New Roman" w:hAnsi="Times New Roman"/>
        </w:rPr>
        <w:t xml:space="preserve"> de biogaz générés d'ici à la fin du projet équivalent à 10 051 575 x 23 MJ/m3 = 231 186 GJ. 231 186 GJ x 0,278 MWh/GJ = 64 269,77 MWhTH ou 64 270 MWhTH en arrondissant. Si le même calcul est répété pour la génération annuelle, on obtient 28 542 MWhTH/an).</w:t>
      </w:r>
    </w:p>
    <w:p w:rsidR="00AC6934" w:rsidRPr="001F1343" w:rsidRDefault="00AC6934" w:rsidP="000C4537">
      <w:pPr>
        <w:pStyle w:val="Paragraphedeliste"/>
        <w:numPr>
          <w:ilvl w:val="0"/>
          <w:numId w:val="17"/>
        </w:numPr>
        <w:spacing w:after="0"/>
        <w:ind w:right="-608"/>
        <w:rPr>
          <w:rFonts w:ascii="Times New Roman" w:hAnsi="Times New Roman"/>
          <w:szCs w:val="22"/>
        </w:rPr>
      </w:pPr>
      <w:r>
        <w:rPr>
          <w:rFonts w:ascii="Times New Roman" w:hAnsi="Times New Roman"/>
        </w:rPr>
        <w:t>Développement des capacités au sein du MEEF et d'autres ministères/services gouvernementaux concernés afin d'encourager les investissements en technologies à base de biogaz.</w:t>
      </w:r>
    </w:p>
    <w:p w:rsidR="00AC6934" w:rsidRPr="001F1343" w:rsidRDefault="00AC6934" w:rsidP="000C4537">
      <w:pPr>
        <w:pStyle w:val="Paragraphedeliste"/>
        <w:numPr>
          <w:ilvl w:val="0"/>
          <w:numId w:val="17"/>
        </w:numPr>
        <w:spacing w:after="0"/>
        <w:ind w:right="-608"/>
        <w:rPr>
          <w:rFonts w:ascii="Times New Roman" w:hAnsi="Times New Roman"/>
          <w:szCs w:val="22"/>
        </w:rPr>
      </w:pPr>
      <w:r>
        <w:rPr>
          <w:rFonts w:ascii="Times New Roman" w:hAnsi="Times New Roman"/>
        </w:rPr>
        <w:t>Fourniture de biogaz à 2 000 ménages d’en moyenne 6 personnes/ménage et 10 grands digesteurs pour la satisfaction de leurs besoins énergétiques de base.</w:t>
      </w:r>
    </w:p>
    <w:p w:rsidR="00AC6934" w:rsidRPr="001F1343" w:rsidRDefault="00AC6934" w:rsidP="000C4537">
      <w:pPr>
        <w:pStyle w:val="Paragraphedeliste"/>
        <w:numPr>
          <w:ilvl w:val="0"/>
          <w:numId w:val="17"/>
        </w:numPr>
        <w:spacing w:after="0"/>
        <w:ind w:right="-608"/>
        <w:rPr>
          <w:rFonts w:ascii="Times New Roman" w:hAnsi="Times New Roman"/>
          <w:szCs w:val="22"/>
        </w:rPr>
      </w:pPr>
      <w:r>
        <w:rPr>
          <w:rFonts w:ascii="Times New Roman" w:hAnsi="Times New Roman"/>
        </w:rPr>
        <w:t>Création de 3 000 emplois supplémentaires dans le secteur agricole et de 500 emplois pour la construction de digesteurs, la fabrication de cuisinières/lampes à gaz et l'entretien pendant toute la durée du projet.</w:t>
      </w:r>
    </w:p>
    <w:p w:rsidR="00AC6934" w:rsidRPr="001F1343" w:rsidRDefault="00AC6934" w:rsidP="000C4537">
      <w:pPr>
        <w:pStyle w:val="Paragraphedeliste"/>
        <w:numPr>
          <w:ilvl w:val="0"/>
          <w:numId w:val="17"/>
        </w:numPr>
        <w:tabs>
          <w:tab w:val="clear" w:pos="1080"/>
          <w:tab w:val="num" w:pos="709"/>
        </w:tabs>
        <w:ind w:right="-608"/>
        <w:rPr>
          <w:rFonts w:ascii="Times New Roman" w:hAnsi="Times New Roman"/>
          <w:szCs w:val="22"/>
        </w:rPr>
      </w:pPr>
      <w:r>
        <w:rPr>
          <w:rFonts w:ascii="Times New Roman" w:hAnsi="Times New Roman"/>
        </w:rPr>
        <w:t>Documentation et diffusion des enseignements tirés aux potentiels investisseurs/parties prenantes via des publications, des campagnes de sensibilisation publiques et le site Internet du projet.</w:t>
      </w:r>
    </w:p>
    <w:p w:rsidR="00AC6934" w:rsidRPr="001F1343" w:rsidRDefault="00AC6934" w:rsidP="00AC6934">
      <w:pPr>
        <w:rPr>
          <w:rFonts w:ascii="Times New Roman" w:hAnsi="Times New Roman"/>
          <w:szCs w:val="22"/>
          <w:u w:val="single"/>
        </w:rPr>
      </w:pPr>
      <w:r>
        <w:rPr>
          <w:rFonts w:ascii="Times New Roman" w:hAnsi="Times New Roman"/>
          <w:color w:val="000000"/>
        </w:rPr>
        <w:t>Le détail des indicateurs est donné dans le Cadre des résultats du projet ci-dessous.</w:t>
      </w:r>
    </w:p>
    <w:p w:rsidR="00AC6934" w:rsidRPr="001F1343" w:rsidRDefault="00AC6934" w:rsidP="00AC6934">
      <w:pPr>
        <w:rPr>
          <w:rFonts w:ascii="Times New Roman" w:hAnsi="Times New Roman"/>
          <w:szCs w:val="22"/>
          <w:u w:val="single"/>
        </w:rPr>
      </w:pPr>
      <w:r>
        <w:rPr>
          <w:rFonts w:ascii="Times New Roman" w:hAnsi="Times New Roman"/>
          <w:u w:val="single"/>
        </w:rPr>
        <w:t>Hypothèses</w:t>
      </w:r>
    </w:p>
    <w:p w:rsidR="00AC6934" w:rsidRPr="001F1343" w:rsidRDefault="00AC6934" w:rsidP="00AC6934">
      <w:pPr>
        <w:rPr>
          <w:rFonts w:ascii="Times New Roman" w:hAnsi="Times New Roman"/>
          <w:color w:val="000000"/>
          <w:szCs w:val="22"/>
        </w:rPr>
      </w:pPr>
      <w:r>
        <w:rPr>
          <w:rFonts w:ascii="Times New Roman" w:hAnsi="Times New Roman"/>
        </w:rPr>
        <w:t>Les hypothèses sont indiquées dans le Cadre des résultats du projet ci-dessous</w:t>
      </w:r>
      <w:r>
        <w:rPr>
          <w:rFonts w:ascii="Times New Roman" w:hAnsi="Times New Roman"/>
          <w:color w:val="000000"/>
        </w:rPr>
        <w:t>.</w:t>
      </w:r>
    </w:p>
    <w:p w:rsidR="00AC6934" w:rsidRPr="001F1343" w:rsidRDefault="00AC6934" w:rsidP="00AC6934">
      <w:pPr>
        <w:rPr>
          <w:rFonts w:ascii="Times New Roman" w:hAnsi="Times New Roman"/>
          <w:szCs w:val="22"/>
          <w:u w:val="single"/>
        </w:rPr>
      </w:pPr>
      <w:r>
        <w:rPr>
          <w:rFonts w:ascii="Times New Roman" w:hAnsi="Times New Roman"/>
          <w:u w:val="single"/>
        </w:rPr>
        <w:t>Risques</w:t>
      </w:r>
    </w:p>
    <w:p w:rsidR="00AC6934" w:rsidRPr="001F1343" w:rsidRDefault="00AC6934" w:rsidP="00AC6934">
      <w:pPr>
        <w:rPr>
          <w:rFonts w:ascii="Times New Roman" w:hAnsi="Times New Roman"/>
          <w:szCs w:val="22"/>
        </w:rPr>
      </w:pPr>
      <w:r>
        <w:rPr>
          <w:rFonts w:ascii="Times New Roman" w:hAnsi="Times New Roman"/>
        </w:rPr>
        <w:t>Le projet présente certains risques qui sont précisés dans le Tableau 6 ci-dessous :</w:t>
      </w:r>
    </w:p>
    <w:p w:rsidR="00AC6934" w:rsidRPr="001F1343" w:rsidRDefault="00AC6934" w:rsidP="00AC6934">
      <w:pPr>
        <w:pStyle w:val="Pieddepage"/>
        <w:spacing w:after="80"/>
        <w:ind w:left="360"/>
        <w:jc w:val="center"/>
        <w:rPr>
          <w:rFonts w:ascii="Times New Roman" w:hAnsi="Times New Roman"/>
          <w:b/>
          <w:szCs w:val="22"/>
        </w:rPr>
      </w:pPr>
    </w:p>
    <w:p w:rsidR="00AC6934" w:rsidRPr="001F1343" w:rsidRDefault="00AC6934" w:rsidP="00AC6934">
      <w:pPr>
        <w:pStyle w:val="Pieddepage"/>
        <w:spacing w:after="80"/>
        <w:ind w:left="360"/>
        <w:jc w:val="center"/>
        <w:rPr>
          <w:rFonts w:ascii="Times New Roman" w:hAnsi="Times New Roman"/>
          <w:b/>
          <w:szCs w:val="22"/>
        </w:rPr>
      </w:pPr>
    </w:p>
    <w:p w:rsidR="00AC6934" w:rsidRPr="001F1343" w:rsidRDefault="00AC6934" w:rsidP="00AC6934">
      <w:pPr>
        <w:pStyle w:val="Pieddepage"/>
        <w:spacing w:after="80"/>
        <w:ind w:left="360"/>
        <w:jc w:val="center"/>
        <w:rPr>
          <w:rFonts w:ascii="Times New Roman" w:hAnsi="Times New Roman"/>
          <w:b/>
          <w:szCs w:val="22"/>
        </w:rPr>
      </w:pPr>
    </w:p>
    <w:p w:rsidR="00AC6934" w:rsidRPr="001F1343" w:rsidRDefault="00AC6934" w:rsidP="00AC6934">
      <w:pPr>
        <w:pStyle w:val="Pieddepage"/>
        <w:spacing w:after="80"/>
        <w:ind w:left="360"/>
        <w:jc w:val="center"/>
        <w:rPr>
          <w:rFonts w:ascii="Times New Roman" w:hAnsi="Times New Roman"/>
          <w:b/>
          <w:szCs w:val="22"/>
        </w:rPr>
      </w:pPr>
    </w:p>
    <w:p w:rsidR="00AC6934" w:rsidRPr="001F1343" w:rsidRDefault="00AC6934" w:rsidP="00AC6934">
      <w:pPr>
        <w:pStyle w:val="Pieddepage"/>
        <w:spacing w:after="80"/>
        <w:ind w:left="360"/>
        <w:jc w:val="center"/>
        <w:rPr>
          <w:rFonts w:ascii="Times New Roman" w:hAnsi="Times New Roman"/>
          <w:b/>
          <w:szCs w:val="22"/>
        </w:rPr>
      </w:pPr>
    </w:p>
    <w:p w:rsidR="00AC6934" w:rsidRPr="001F1343" w:rsidRDefault="00AC6934" w:rsidP="00AC6934">
      <w:pPr>
        <w:pStyle w:val="Pieddepage"/>
        <w:spacing w:after="80"/>
        <w:ind w:left="360"/>
        <w:jc w:val="center"/>
        <w:rPr>
          <w:rFonts w:ascii="Times New Roman" w:hAnsi="Times New Roman"/>
          <w:b/>
          <w:szCs w:val="22"/>
        </w:rPr>
      </w:pPr>
    </w:p>
    <w:p w:rsidR="00AC6934" w:rsidRPr="001F1343" w:rsidRDefault="00AC6934" w:rsidP="00AC6934">
      <w:pPr>
        <w:pStyle w:val="Pieddepage"/>
        <w:spacing w:after="80"/>
        <w:ind w:left="360"/>
        <w:jc w:val="center"/>
        <w:rPr>
          <w:rFonts w:ascii="Times New Roman" w:hAnsi="Times New Roman"/>
          <w:b/>
          <w:szCs w:val="22"/>
        </w:rPr>
      </w:pPr>
      <w:r>
        <w:rPr>
          <w:rFonts w:ascii="Times New Roman" w:hAnsi="Times New Roman"/>
          <w:b/>
        </w:rPr>
        <w:t>Tableau 6 : Risques, importance et approche fondée sur l'impact/atténuation</w:t>
      </w:r>
    </w:p>
    <w:p w:rsidR="00AC6934" w:rsidRPr="001F1343" w:rsidRDefault="00AC6934" w:rsidP="00AC6934">
      <w:pPr>
        <w:spacing w:after="0"/>
        <w:ind w:right="-540"/>
        <w:rPr>
          <w:rFonts w:ascii="Times New Roman" w:hAnsi="Times New Roman"/>
          <w:szCs w:val="22"/>
        </w:rPr>
      </w:pPr>
    </w:p>
    <w:tbl>
      <w:tblPr>
        <w:tblW w:w="111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1530"/>
        <w:gridCol w:w="7648"/>
      </w:tblGrid>
      <w:tr w:rsidR="00AC6934" w:rsidRPr="001F1343" w:rsidTr="0029082F">
        <w:tc>
          <w:tcPr>
            <w:tcW w:w="1979" w:type="dxa"/>
          </w:tcPr>
          <w:p w:rsidR="00AC6934" w:rsidRPr="001F1343" w:rsidRDefault="00AC6934" w:rsidP="00AC6934">
            <w:pPr>
              <w:spacing w:after="200"/>
              <w:jc w:val="center"/>
              <w:rPr>
                <w:rFonts w:ascii="Times New Roman" w:hAnsi="Times New Roman"/>
                <w:b/>
                <w:color w:val="000000"/>
                <w:szCs w:val="22"/>
              </w:rPr>
            </w:pPr>
            <w:r>
              <w:rPr>
                <w:rFonts w:ascii="Times New Roman" w:hAnsi="Times New Roman"/>
                <w:b/>
              </w:rPr>
              <w:lastRenderedPageBreak/>
              <w:t>Risques</w:t>
            </w:r>
          </w:p>
        </w:tc>
        <w:tc>
          <w:tcPr>
            <w:tcW w:w="1530" w:type="dxa"/>
          </w:tcPr>
          <w:p w:rsidR="00AC6934" w:rsidRPr="001F1343" w:rsidRDefault="00AC6934" w:rsidP="00AC6934">
            <w:pPr>
              <w:spacing w:after="200"/>
              <w:jc w:val="center"/>
              <w:rPr>
                <w:rFonts w:ascii="Times New Roman" w:hAnsi="Times New Roman"/>
                <w:b/>
                <w:color w:val="000000"/>
                <w:szCs w:val="22"/>
              </w:rPr>
            </w:pPr>
            <w:r>
              <w:rPr>
                <w:rFonts w:ascii="Times New Roman" w:hAnsi="Times New Roman"/>
                <w:b/>
              </w:rPr>
              <w:t>Importance (probabilité d'occurrence)</w:t>
            </w:r>
          </w:p>
        </w:tc>
        <w:tc>
          <w:tcPr>
            <w:tcW w:w="7648" w:type="dxa"/>
          </w:tcPr>
          <w:p w:rsidR="00AC6934" w:rsidRPr="001F1343" w:rsidRDefault="00AC6934" w:rsidP="00AC6934">
            <w:pPr>
              <w:spacing w:after="200"/>
              <w:jc w:val="center"/>
              <w:rPr>
                <w:rFonts w:ascii="Times New Roman" w:hAnsi="Times New Roman"/>
                <w:b/>
                <w:color w:val="000000"/>
                <w:szCs w:val="22"/>
              </w:rPr>
            </w:pPr>
            <w:r>
              <w:rPr>
                <w:rFonts w:ascii="Times New Roman" w:hAnsi="Times New Roman"/>
                <w:b/>
              </w:rPr>
              <w:t>Approche fondée sur l'impact/atténuation</w:t>
            </w:r>
          </w:p>
        </w:tc>
      </w:tr>
      <w:tr w:rsidR="00AC6934" w:rsidRPr="001F1343" w:rsidTr="0029082F">
        <w:tc>
          <w:tcPr>
            <w:tcW w:w="1979" w:type="dxa"/>
          </w:tcPr>
          <w:p w:rsidR="00AC6934" w:rsidRPr="001F1343" w:rsidRDefault="00AC6934" w:rsidP="00AC6934">
            <w:pPr>
              <w:spacing w:after="0"/>
              <w:jc w:val="left"/>
              <w:rPr>
                <w:rFonts w:ascii="Times New Roman" w:hAnsi="Times New Roman"/>
                <w:bCs/>
                <w:iCs/>
                <w:szCs w:val="22"/>
              </w:rPr>
            </w:pPr>
            <w:r>
              <w:rPr>
                <w:rFonts w:ascii="Times New Roman" w:hAnsi="Times New Roman"/>
              </w:rPr>
              <w:t>Risque sanitaire lié au virus Ebola</w:t>
            </w:r>
          </w:p>
        </w:tc>
        <w:tc>
          <w:tcPr>
            <w:tcW w:w="1530" w:type="dxa"/>
          </w:tcPr>
          <w:p w:rsidR="00AC6934" w:rsidRPr="001F1343" w:rsidRDefault="00AC6934" w:rsidP="00AC6934">
            <w:pPr>
              <w:spacing w:after="0"/>
              <w:jc w:val="center"/>
              <w:rPr>
                <w:rFonts w:ascii="Times New Roman" w:hAnsi="Times New Roman"/>
                <w:bCs/>
                <w:iCs/>
                <w:szCs w:val="22"/>
              </w:rPr>
            </w:pPr>
            <w:r>
              <w:rPr>
                <w:rFonts w:ascii="Times New Roman" w:hAnsi="Times New Roman"/>
              </w:rPr>
              <w:t>Élevée</w:t>
            </w:r>
          </w:p>
        </w:tc>
        <w:tc>
          <w:tcPr>
            <w:tcW w:w="7648" w:type="dxa"/>
          </w:tcPr>
          <w:p w:rsidR="00AC6934" w:rsidRPr="001F1343" w:rsidRDefault="00AC6934" w:rsidP="00AC6934">
            <w:pPr>
              <w:spacing w:after="0"/>
              <w:rPr>
                <w:rFonts w:ascii="Times New Roman" w:hAnsi="Times New Roman"/>
                <w:bCs/>
                <w:iCs/>
                <w:szCs w:val="22"/>
              </w:rPr>
            </w:pPr>
            <w:r>
              <w:rPr>
                <w:rFonts w:ascii="Times New Roman" w:hAnsi="Times New Roman"/>
              </w:rPr>
              <w:t>La Guinée est l'un des pays d'Afrique de l'Ouest affecté par l'épidémie du virus Ebola. L'épidémie semble être actuellement contrôlée, de moins en moins de nouveaux cas étant signalés chaque semaine. Le début des activités du projet pourrait être retardé jusqu'à ce que la situation sanitaire revienne à la normale. Le PNUD surveillera de très près la situation dans le pays afin de décider du moment du lancement du projet.</w:t>
            </w:r>
          </w:p>
        </w:tc>
      </w:tr>
      <w:tr w:rsidR="00AC6934" w:rsidRPr="001F1343" w:rsidTr="0029082F">
        <w:trPr>
          <w:trHeight w:val="530"/>
        </w:trPr>
        <w:tc>
          <w:tcPr>
            <w:tcW w:w="1979" w:type="dxa"/>
          </w:tcPr>
          <w:p w:rsidR="00AC6934" w:rsidRPr="001F1343" w:rsidRDefault="00AC6934" w:rsidP="00AC6934">
            <w:pPr>
              <w:spacing w:after="0"/>
              <w:jc w:val="left"/>
              <w:rPr>
                <w:rFonts w:ascii="Times New Roman" w:hAnsi="Times New Roman"/>
                <w:color w:val="000000"/>
                <w:szCs w:val="22"/>
              </w:rPr>
            </w:pPr>
            <w:r>
              <w:rPr>
                <w:rFonts w:ascii="Times New Roman" w:hAnsi="Times New Roman"/>
              </w:rPr>
              <w:t>Institutionnels et règlementaires : réticence de certaines divisions du gouvernement à adopter les politiques et règlementations de soutien requises.</w:t>
            </w:r>
          </w:p>
        </w:tc>
        <w:tc>
          <w:tcPr>
            <w:tcW w:w="1530" w:type="dxa"/>
          </w:tcPr>
          <w:p w:rsidR="00AC6934" w:rsidRPr="001F1343" w:rsidRDefault="00AC6934" w:rsidP="00AC6934">
            <w:pPr>
              <w:spacing w:after="200"/>
              <w:jc w:val="center"/>
              <w:rPr>
                <w:rFonts w:ascii="Times New Roman" w:hAnsi="Times New Roman"/>
                <w:color w:val="000000"/>
                <w:szCs w:val="22"/>
              </w:rPr>
            </w:pPr>
            <w:r>
              <w:rPr>
                <w:rFonts w:ascii="Times New Roman" w:hAnsi="Times New Roman"/>
              </w:rPr>
              <w:t>Faible</w:t>
            </w:r>
          </w:p>
        </w:tc>
        <w:tc>
          <w:tcPr>
            <w:tcW w:w="7648" w:type="dxa"/>
          </w:tcPr>
          <w:p w:rsidR="00AC6934" w:rsidRPr="001F1343" w:rsidRDefault="00AC6934" w:rsidP="00AC6934">
            <w:pPr>
              <w:spacing w:after="200"/>
              <w:rPr>
                <w:rFonts w:ascii="Times New Roman" w:hAnsi="Times New Roman"/>
                <w:color w:val="000000"/>
                <w:szCs w:val="22"/>
              </w:rPr>
            </w:pPr>
            <w:r>
              <w:rPr>
                <w:rFonts w:ascii="Times New Roman" w:hAnsi="Times New Roman"/>
              </w:rPr>
              <w:t>Si ce risque venait à se matérialiser, il affecterait considérablement la mise en œuvre du projet. Toutefois, cela est très peu probable dans la mesure où le gouvernement entend fermement permettre l'accès aux services énergétiques modernes à la vaste population rurale et périurbaine qui utilise le bois de chauffage/charbon pour la cuisine, et entend mener à bien ses plans de réduction de la déforestation massive associée à l'utilisation des ressources forestières. Ainsi, il fera en sorte que l'ensemble de ses ministères/départements/directions s'engagent à mettre en place une politique adéquate et un cadre règlementaire propice à la promotion et au développement du biogaz.</w:t>
            </w:r>
          </w:p>
        </w:tc>
      </w:tr>
      <w:tr w:rsidR="00AC6934" w:rsidRPr="001F1343" w:rsidTr="0029082F">
        <w:tc>
          <w:tcPr>
            <w:tcW w:w="1979" w:type="dxa"/>
          </w:tcPr>
          <w:p w:rsidR="00AC6934" w:rsidRPr="001F1343" w:rsidRDefault="00AC6934" w:rsidP="00AC6934">
            <w:pPr>
              <w:spacing w:after="0"/>
              <w:jc w:val="left"/>
              <w:rPr>
                <w:rFonts w:ascii="Times New Roman" w:hAnsi="Times New Roman"/>
                <w:color w:val="000000"/>
                <w:szCs w:val="22"/>
              </w:rPr>
            </w:pPr>
            <w:r>
              <w:rPr>
                <w:rFonts w:ascii="Times New Roman" w:hAnsi="Times New Roman"/>
              </w:rPr>
              <w:t>Économiques/</w:t>
            </w:r>
            <w:r w:rsidR="0029082F">
              <w:rPr>
                <w:rFonts w:ascii="Times New Roman" w:hAnsi="Times New Roman"/>
              </w:rPr>
              <w:t xml:space="preserve"> </w:t>
            </w:r>
            <w:r>
              <w:rPr>
                <w:rFonts w:ascii="Times New Roman" w:hAnsi="Times New Roman"/>
              </w:rPr>
              <w:t>financiers : Non-disponibilité des crédits à l'égard des promoteurs du biogaz.</w:t>
            </w:r>
          </w:p>
        </w:tc>
        <w:tc>
          <w:tcPr>
            <w:tcW w:w="1530" w:type="dxa"/>
          </w:tcPr>
          <w:p w:rsidR="00AC6934" w:rsidRPr="001F1343" w:rsidRDefault="00AC6934" w:rsidP="00AC6934">
            <w:pPr>
              <w:spacing w:after="200"/>
              <w:jc w:val="center"/>
              <w:rPr>
                <w:rFonts w:ascii="Times New Roman" w:hAnsi="Times New Roman"/>
                <w:color w:val="000000"/>
                <w:szCs w:val="22"/>
              </w:rPr>
            </w:pPr>
            <w:r>
              <w:rPr>
                <w:rFonts w:ascii="Times New Roman" w:hAnsi="Times New Roman"/>
              </w:rPr>
              <w:t>Faible</w:t>
            </w:r>
          </w:p>
        </w:tc>
        <w:tc>
          <w:tcPr>
            <w:tcW w:w="7648" w:type="dxa"/>
            <w:tcBorders>
              <w:bottom w:val="single" w:sz="4" w:space="0" w:color="auto"/>
            </w:tcBorders>
          </w:tcPr>
          <w:p w:rsidR="00AC6934" w:rsidRPr="001F1343" w:rsidRDefault="00AC6934" w:rsidP="00AC6934">
            <w:pPr>
              <w:spacing w:after="0"/>
              <w:jc w:val="left"/>
              <w:rPr>
                <w:rFonts w:ascii="Times New Roman" w:hAnsi="Times New Roman"/>
                <w:color w:val="000000"/>
                <w:szCs w:val="22"/>
              </w:rPr>
            </w:pPr>
            <w:r>
              <w:rPr>
                <w:rFonts w:ascii="Times New Roman" w:hAnsi="Times New Roman"/>
              </w:rPr>
              <w:t xml:space="preserve">Si cela était le cas, aucun prêt ne serait accordé pour la production de biogaz. Toutefois, il est peu probable que cette hypothèse se concrétise dans la mesure où les IMF ont déjà octroyé des prêts aux </w:t>
            </w:r>
            <w:r w:rsidR="007562CF">
              <w:rPr>
                <w:rFonts w:ascii="Times New Roman" w:hAnsi="Times New Roman"/>
              </w:rPr>
              <w:t xml:space="preserve"> </w:t>
            </w:r>
            <w:r>
              <w:rPr>
                <w:rFonts w:ascii="Times New Roman" w:hAnsi="Times New Roman"/>
              </w:rPr>
              <w:t>petits exploitants/petites entreprises et ne renonceraient pas à développer de nouveaux produits de vente. Étant donné qu'elles n'ont aucune expérience en matière de prêt pour la production de biogaz, les promoteurs du projet travailleront avec elles afin de développer ce nouveau produit et d’accorder des prêts pour le développement du biogaz. De plus, une subvention à l'investissement sera accordée aux ménages, réduisant ainsi le montant du prêt octroyé par les IMF. Enfin, le projet encouragera des partenariats entre l'emprunteur et le prêteur prévoyant l’utilisation de têtes de bovins/moutons au titre des biens faisant office de garanties de prêt.</w:t>
            </w:r>
          </w:p>
        </w:tc>
      </w:tr>
      <w:tr w:rsidR="00AC6934" w:rsidRPr="001F1343" w:rsidTr="0029082F">
        <w:tc>
          <w:tcPr>
            <w:tcW w:w="1979" w:type="dxa"/>
          </w:tcPr>
          <w:p w:rsidR="00AC6934" w:rsidRPr="001F1343" w:rsidRDefault="00AC6934" w:rsidP="00AC6934">
            <w:pPr>
              <w:spacing w:after="0"/>
              <w:jc w:val="left"/>
              <w:rPr>
                <w:rFonts w:ascii="Times New Roman" w:hAnsi="Times New Roman"/>
                <w:bCs/>
                <w:iCs/>
                <w:szCs w:val="22"/>
              </w:rPr>
            </w:pPr>
            <w:r>
              <w:rPr>
                <w:rFonts w:ascii="Times New Roman" w:hAnsi="Times New Roman"/>
              </w:rPr>
              <w:t>Climat peu propice à l'investissement.</w:t>
            </w:r>
          </w:p>
        </w:tc>
        <w:tc>
          <w:tcPr>
            <w:tcW w:w="1530" w:type="dxa"/>
          </w:tcPr>
          <w:p w:rsidR="00AC6934" w:rsidRPr="001F1343" w:rsidRDefault="00AC6934" w:rsidP="00AC6934">
            <w:pPr>
              <w:spacing w:after="200"/>
              <w:jc w:val="center"/>
              <w:rPr>
                <w:rFonts w:ascii="Times New Roman" w:hAnsi="Times New Roman"/>
                <w:szCs w:val="22"/>
              </w:rPr>
            </w:pPr>
            <w:r>
              <w:rPr>
                <w:rFonts w:ascii="Times New Roman" w:hAnsi="Times New Roman"/>
              </w:rPr>
              <w:t>Élevée</w:t>
            </w:r>
          </w:p>
        </w:tc>
        <w:tc>
          <w:tcPr>
            <w:tcW w:w="7648" w:type="dxa"/>
            <w:tcBorders>
              <w:bottom w:val="single" w:sz="4" w:space="0" w:color="auto"/>
            </w:tcBorders>
          </w:tcPr>
          <w:p w:rsidR="00AC6934" w:rsidRPr="001F1343" w:rsidRDefault="00AC6934" w:rsidP="00AC6934">
            <w:pPr>
              <w:spacing w:after="0"/>
              <w:jc w:val="left"/>
              <w:rPr>
                <w:rFonts w:ascii="Times New Roman" w:hAnsi="Times New Roman"/>
                <w:szCs w:val="22"/>
              </w:rPr>
            </w:pPr>
            <w:r>
              <w:rPr>
                <w:rFonts w:ascii="Times New Roman" w:hAnsi="Times New Roman"/>
              </w:rPr>
              <w:t xml:space="preserve">Le fait que la Guinée arrive en 175e position du classement de l'indice de facilité de conduite des affaires, selon la publication « Doing Business 2014 » de la BM-IFC, se passe de commentaire. À la lumière de cette donnée, le projet mettra en place un Mécanisme de soutien financier qui visera directement à minimiser les risques financiers auxquels pourraient faire face les consommateurs et les prêteurs dans une optique de développement de digesteurs à biogaz. </w:t>
            </w:r>
          </w:p>
        </w:tc>
      </w:tr>
      <w:tr w:rsidR="00AC6934" w:rsidRPr="001F1343" w:rsidTr="0029082F">
        <w:trPr>
          <w:trHeight w:val="484"/>
        </w:trPr>
        <w:tc>
          <w:tcPr>
            <w:tcW w:w="1979" w:type="dxa"/>
          </w:tcPr>
          <w:p w:rsidR="00AC6934" w:rsidRPr="001F1343" w:rsidRDefault="00AC6934" w:rsidP="00AC6934">
            <w:pPr>
              <w:spacing w:after="0"/>
              <w:jc w:val="left"/>
              <w:rPr>
                <w:rFonts w:ascii="Times New Roman" w:hAnsi="Times New Roman"/>
                <w:color w:val="000000"/>
                <w:szCs w:val="22"/>
              </w:rPr>
            </w:pPr>
            <w:r>
              <w:rPr>
                <w:rFonts w:ascii="Times New Roman" w:hAnsi="Times New Roman"/>
              </w:rPr>
              <w:t xml:space="preserve">Technologiques : Commercialisation de digesteurs/cuisinières à biogaz mal conçus et/ou de piètre qualité en Guinée. </w:t>
            </w:r>
          </w:p>
        </w:tc>
        <w:tc>
          <w:tcPr>
            <w:tcW w:w="1530" w:type="dxa"/>
          </w:tcPr>
          <w:p w:rsidR="00AC6934" w:rsidRPr="001F1343" w:rsidRDefault="00AC6934" w:rsidP="00AC6934">
            <w:pPr>
              <w:spacing w:after="200"/>
              <w:jc w:val="center"/>
              <w:rPr>
                <w:rFonts w:ascii="Times New Roman" w:hAnsi="Times New Roman"/>
                <w:color w:val="000000"/>
                <w:szCs w:val="22"/>
              </w:rPr>
            </w:pPr>
            <w:r>
              <w:rPr>
                <w:rFonts w:ascii="Times New Roman" w:hAnsi="Times New Roman"/>
              </w:rPr>
              <w:t>Faible</w:t>
            </w:r>
          </w:p>
        </w:tc>
        <w:tc>
          <w:tcPr>
            <w:tcW w:w="7648" w:type="dxa"/>
            <w:tcBorders>
              <w:bottom w:val="single" w:sz="4" w:space="0" w:color="auto"/>
            </w:tcBorders>
          </w:tcPr>
          <w:p w:rsidR="00AC6934" w:rsidRPr="001F1343" w:rsidRDefault="00AC6934" w:rsidP="00AC6934">
            <w:pPr>
              <w:spacing w:after="0"/>
              <w:jc w:val="left"/>
              <w:rPr>
                <w:rFonts w:ascii="Times New Roman" w:hAnsi="Times New Roman"/>
              </w:rPr>
            </w:pPr>
            <w:r>
              <w:rPr>
                <w:rFonts w:ascii="Times New Roman" w:hAnsi="Times New Roman"/>
              </w:rPr>
              <w:t xml:space="preserve">Les technologies à base de biogaz fondées sur la propriété privée se sont développées au cours des 20 dernières années dans plusieurs autres pays en développement. Pourtant, afin d'éviter tout faux pas en Guinée, le projet mettra en place des réseaux avec d'autres pays africains disposant de plusieurs années d'expérience en matière de biogaz (Bénin, Burkina Faso, Sénégal, etc.) dans le cadre de programmes mis en œuvre par SNV et d'autres partenaires. Cela garantira que seuls des modèles de digesteurs efficaces soient commercialisés et évitera de répéter les erreurs commises dans d'autres pays. </w:t>
            </w:r>
          </w:p>
          <w:p w:rsidR="00AC6934" w:rsidRPr="001F1343" w:rsidRDefault="00AC6934" w:rsidP="00AC6934">
            <w:pPr>
              <w:spacing w:after="0"/>
              <w:jc w:val="left"/>
              <w:rPr>
                <w:rFonts w:ascii="Times New Roman" w:hAnsi="Times New Roman"/>
                <w:color w:val="000000"/>
                <w:szCs w:val="22"/>
              </w:rPr>
            </w:pPr>
            <w:r>
              <w:rPr>
                <w:rFonts w:ascii="Times New Roman" w:hAnsi="Times New Roman"/>
                <w:color w:val="000000"/>
              </w:rPr>
              <w:t>De plus, le projet invitera les formateurs de ces pays afin d'assurer la formation des constructeurs guinéens en matière de digesteurs de haute qualité.</w:t>
            </w:r>
          </w:p>
        </w:tc>
      </w:tr>
      <w:tr w:rsidR="00AC6934" w:rsidRPr="001F1343" w:rsidTr="0029082F">
        <w:trPr>
          <w:trHeight w:val="484"/>
        </w:trPr>
        <w:tc>
          <w:tcPr>
            <w:tcW w:w="1979" w:type="dxa"/>
            <w:vAlign w:val="center"/>
          </w:tcPr>
          <w:p w:rsidR="00AC6934" w:rsidRPr="001F1343" w:rsidRDefault="00AC6934" w:rsidP="00AC6934">
            <w:pPr>
              <w:spacing w:after="0"/>
              <w:jc w:val="left"/>
              <w:rPr>
                <w:rFonts w:ascii="Times New Roman" w:hAnsi="Times New Roman"/>
              </w:rPr>
            </w:pPr>
            <w:r>
              <w:rPr>
                <w:rFonts w:ascii="Times New Roman" w:hAnsi="Times New Roman"/>
              </w:rPr>
              <w:t xml:space="preserve">Il se pourrait que des précautions de sécurité soient négligées, provoquant des </w:t>
            </w:r>
            <w:r>
              <w:rPr>
                <w:rFonts w:ascii="Times New Roman" w:hAnsi="Times New Roman"/>
              </w:rPr>
              <w:lastRenderedPageBreak/>
              <w:t>fuites de substances toxiques telles que le méthane.</w:t>
            </w:r>
          </w:p>
        </w:tc>
        <w:tc>
          <w:tcPr>
            <w:tcW w:w="1530" w:type="dxa"/>
            <w:vAlign w:val="center"/>
          </w:tcPr>
          <w:p w:rsidR="00AC6934" w:rsidRPr="001F1343" w:rsidRDefault="00AC6934" w:rsidP="00AC6934">
            <w:pPr>
              <w:spacing w:after="200"/>
              <w:jc w:val="center"/>
              <w:rPr>
                <w:rFonts w:ascii="Times New Roman" w:hAnsi="Times New Roman"/>
              </w:rPr>
            </w:pPr>
            <w:r>
              <w:rPr>
                <w:rFonts w:ascii="Times New Roman" w:hAnsi="Times New Roman"/>
              </w:rPr>
              <w:lastRenderedPageBreak/>
              <w:t>Faible</w:t>
            </w:r>
          </w:p>
        </w:tc>
        <w:tc>
          <w:tcPr>
            <w:tcW w:w="7648" w:type="dxa"/>
            <w:tcBorders>
              <w:bottom w:val="single" w:sz="4" w:space="0" w:color="auto"/>
            </w:tcBorders>
            <w:vAlign w:val="center"/>
          </w:tcPr>
          <w:p w:rsidR="00AC6934" w:rsidRPr="001F1343" w:rsidRDefault="00AC6934" w:rsidP="00AC6934">
            <w:pPr>
              <w:rPr>
                <w:rFonts w:ascii="Times New Roman" w:hAnsi="Times New Roman"/>
                <w:bCs/>
                <w:szCs w:val="22"/>
              </w:rPr>
            </w:pPr>
            <w:r>
              <w:rPr>
                <w:rFonts w:ascii="Times New Roman" w:hAnsi="Times New Roman"/>
              </w:rPr>
              <w:t xml:space="preserve">Lors de l'installation et après la construction d'un digesteur, les consommateurs seront formés à l'utilisation sûre du biogaz. Au cours de la mise en œuvre du projet, un contrôle rigoureux des fuites de méthane sera effectué, et en cas de fuite, il sera procédé à une évaluation des risques sanitaires et de l'impact en termes d'émissions de GES attribuables au méthane. Des méthodologies telles que la méthodologie CDM </w:t>
            </w:r>
            <w:r>
              <w:rPr>
                <w:rFonts w:ascii="Times New Roman" w:hAnsi="Times New Roman"/>
              </w:rPr>
              <w:lastRenderedPageBreak/>
              <w:t>(AMSIIIH/traitement du lisier), dans l'hypothèse d'une fuite de 10 % du potentiel de production de méthane maximum liée à la production, à la collecte et au transport d'un système de brûlage (valeur par défaut du GIEC), peuvent être appliquées.</w:t>
            </w:r>
          </w:p>
          <w:p w:rsidR="00AC6934" w:rsidRPr="001F1343" w:rsidRDefault="00AC6934" w:rsidP="00AC6934">
            <w:pPr>
              <w:spacing w:after="0"/>
              <w:rPr>
                <w:rFonts w:ascii="Times New Roman" w:hAnsi="Times New Roman"/>
              </w:rPr>
            </w:pPr>
            <w:r>
              <w:rPr>
                <w:rFonts w:ascii="Times New Roman" w:hAnsi="Times New Roman"/>
              </w:rPr>
              <w:t>Le méthane présent dans le biogaz peut provoquer des incendies en cas de fuites de gaz et en présence d'une flamme ou étincelle. Toutefois, le sulfure d'hydrogène (H2S) présent dans le gaz, très toxique, peut rapidement alerter les individus de la présence d'une fuite en raison de son odeur d'« œuf pourri », ce qui prévient la survenue d'accidents. Au niveau de grandes installations, le contrôle des fuites de gaz sera assuré avec l'aide de détecteurs de gaz. Et, à titre de précaution, les usagers apprendront à ne pas pénétrer dans une zone fermée où des gaz peuvent être présents sans un équipement de protection individuelle adapté, équipement pouvant inclure un appareil respiratoire autonome (ARA). Pour les digesteurs domestiques, le contrôle des fuites de gaz consistera à apprendre aux consommateurs à déceler toute mauvaise odeur et, le cas échéant, s'abstenir d'utiliser le gaz. Dans ce cas, ils devront faire appel à un technicien qualifié, formé dans le cadre du projet, afin de vérifier et de corriger le problème. Enfin, le risque de fuite de gaz sera réduit au minimum via la qualité de l'installation effectuée par des techniciens qualifiés et la formation des usagers aux mesures de sécurité à observer lors de l'utilisation du biogaz.</w:t>
            </w:r>
          </w:p>
        </w:tc>
      </w:tr>
      <w:tr w:rsidR="00AC6934" w:rsidRPr="001F1343" w:rsidTr="0029082F">
        <w:tc>
          <w:tcPr>
            <w:tcW w:w="1979" w:type="dxa"/>
          </w:tcPr>
          <w:p w:rsidR="00AC6934" w:rsidRPr="001F1343" w:rsidRDefault="00AC6934" w:rsidP="00AC6934">
            <w:pPr>
              <w:rPr>
                <w:rFonts w:ascii="Times New Roman" w:hAnsi="Times New Roman"/>
                <w:color w:val="000000"/>
                <w:szCs w:val="22"/>
              </w:rPr>
            </w:pPr>
            <w:r>
              <w:rPr>
                <w:rFonts w:ascii="Times New Roman" w:hAnsi="Times New Roman"/>
                <w:color w:val="000000"/>
              </w:rPr>
              <w:lastRenderedPageBreak/>
              <w:t>Environnementaux/</w:t>
            </w:r>
          </w:p>
          <w:p w:rsidR="00AC6934" w:rsidRPr="001F1343" w:rsidRDefault="00AC6934" w:rsidP="00AC6934">
            <w:pPr>
              <w:spacing w:after="200"/>
              <w:jc w:val="left"/>
              <w:rPr>
                <w:rFonts w:ascii="Times New Roman" w:hAnsi="Times New Roman"/>
                <w:color w:val="000000"/>
                <w:szCs w:val="22"/>
              </w:rPr>
            </w:pPr>
            <w:r>
              <w:rPr>
                <w:rFonts w:ascii="Times New Roman" w:hAnsi="Times New Roman"/>
                <w:color w:val="000000"/>
              </w:rPr>
              <w:t>Changement climatique</w:t>
            </w:r>
            <w:r>
              <w:rPr>
                <w:rFonts w:ascii="Times New Roman" w:hAnsi="Times New Roman"/>
              </w:rPr>
              <w:t xml:space="preserve">. </w:t>
            </w:r>
          </w:p>
        </w:tc>
        <w:tc>
          <w:tcPr>
            <w:tcW w:w="1530" w:type="dxa"/>
          </w:tcPr>
          <w:p w:rsidR="00AC6934" w:rsidRPr="001F1343" w:rsidRDefault="00AC6934" w:rsidP="00AC6934">
            <w:pPr>
              <w:spacing w:after="200"/>
              <w:jc w:val="center"/>
              <w:rPr>
                <w:rFonts w:ascii="Times New Roman" w:hAnsi="Times New Roman"/>
                <w:color w:val="000000"/>
                <w:szCs w:val="22"/>
              </w:rPr>
            </w:pPr>
            <w:r>
              <w:rPr>
                <w:rFonts w:ascii="Times New Roman" w:hAnsi="Times New Roman"/>
                <w:color w:val="000000"/>
              </w:rPr>
              <w:t>Faible</w:t>
            </w:r>
          </w:p>
        </w:tc>
        <w:tc>
          <w:tcPr>
            <w:tcW w:w="7648" w:type="dxa"/>
          </w:tcPr>
          <w:p w:rsidR="00AC6934" w:rsidRPr="001F1343" w:rsidRDefault="00AC6934" w:rsidP="00AC6934">
            <w:pPr>
              <w:spacing w:after="0"/>
              <w:rPr>
                <w:rFonts w:ascii="Times New Roman" w:hAnsi="Times New Roman"/>
                <w:color w:val="000000"/>
                <w:szCs w:val="22"/>
              </w:rPr>
            </w:pPr>
            <w:r>
              <w:rPr>
                <w:rFonts w:ascii="Times New Roman" w:hAnsi="Times New Roman"/>
              </w:rPr>
              <w:t xml:space="preserve">Il existe de multiples risques environnementaux (par exemple la baisse de la disponibilité des matières premières/de la biomasse en raison de la dégradation des sols, la réduction des précipitations/débits d'eau, la sécheresse des bassins versants due à un changement des conditions climatiques) pouvant nuire au développement du biogaz via une réduction de la disponibilité des matières premières pour les digesteurs. Ces risques seront atténués en trouvant une combinaison de déchets de bétail et d'autres types de matières premières telles que la biomasse agricole et les déchets de cuisine, pour alimenter les digesteurs. </w:t>
            </w:r>
          </w:p>
        </w:tc>
      </w:tr>
    </w:tbl>
    <w:p w:rsidR="00AC6934" w:rsidRPr="001F1343" w:rsidRDefault="00AC6934" w:rsidP="00AC6934">
      <w:pPr>
        <w:spacing w:after="0"/>
        <w:ind w:left="-450" w:right="-540"/>
        <w:rPr>
          <w:rFonts w:ascii="Times New Roman" w:hAnsi="Times New Roman"/>
          <w:szCs w:val="22"/>
        </w:rPr>
      </w:pPr>
    </w:p>
    <w:p w:rsidR="00AC6934" w:rsidRPr="001F1343" w:rsidRDefault="00AC6934" w:rsidP="00AC6934">
      <w:pPr>
        <w:spacing w:after="0"/>
        <w:ind w:left="-450" w:right="-540"/>
        <w:rPr>
          <w:rFonts w:ascii="Times New Roman" w:hAnsi="Times New Roman"/>
          <w:szCs w:val="22"/>
        </w:rPr>
      </w:pPr>
    </w:p>
    <w:p w:rsidR="00AC6934" w:rsidRPr="001F1343" w:rsidRDefault="00AC6934" w:rsidP="00AC6934">
      <w:pPr>
        <w:pStyle w:val="Titre2"/>
        <w:ind w:hanging="1170"/>
        <w:rPr>
          <w:i w:val="0"/>
        </w:rPr>
      </w:pPr>
      <w:bookmarkStart w:id="37" w:name="_Toc262924489"/>
      <w:bookmarkStart w:id="38" w:name="_Toc418144246"/>
      <w:bookmarkStart w:id="39" w:name="_Toc298586295"/>
      <w:r>
        <w:rPr>
          <w:i w:val="0"/>
        </w:rPr>
        <w:t>Modalités financière</w:t>
      </w:r>
      <w:bookmarkEnd w:id="37"/>
      <w:bookmarkEnd w:id="38"/>
      <w:r>
        <w:rPr>
          <w:i w:val="0"/>
        </w:rPr>
        <w:t>s</w:t>
      </w:r>
      <w:bookmarkEnd w:id="39"/>
      <w:r>
        <w:rPr>
          <w:i w:val="0"/>
        </w:rPr>
        <w:t xml:space="preserve"> </w:t>
      </w:r>
    </w:p>
    <w:p w:rsidR="00AC6934" w:rsidRPr="001F1343" w:rsidRDefault="00AC6934" w:rsidP="00AC6934">
      <w:pPr>
        <w:spacing w:after="0"/>
        <w:ind w:left="-450" w:right="-698"/>
        <w:rPr>
          <w:rFonts w:ascii="Times New Roman" w:hAnsi="Times New Roman"/>
          <w:bCs/>
          <w:szCs w:val="22"/>
        </w:rPr>
      </w:pPr>
    </w:p>
    <w:p w:rsidR="00AC6934" w:rsidRPr="001F1343" w:rsidRDefault="00AC6934" w:rsidP="00AC6934">
      <w:pPr>
        <w:spacing w:after="0"/>
        <w:ind w:left="-450" w:right="-698"/>
        <w:rPr>
          <w:rFonts w:ascii="Times New Roman" w:hAnsi="Times New Roman"/>
          <w:bCs/>
          <w:szCs w:val="22"/>
        </w:rPr>
      </w:pPr>
      <w:r>
        <w:rPr>
          <w:rFonts w:ascii="Times New Roman" w:hAnsi="Times New Roman"/>
        </w:rPr>
        <w:t xml:space="preserve">Le projet vise au développement de politiques, au renforcement des capacités, à l'assistance technique et à la mise à disposition de mesures incitatives financières servant de catalyseurs à l'investissement du secteur privé à des fins de développement et d'utilisation de technologies à base de biogaz. Une part importante des ressources du FEM destinées aux changements climatiques sera affectée à un Mécanisme de soutien financier (FSM) qui aurait pour but de lancer le marché via la mise à disposition de mesures incitatives financières. La dotation initiale du FSM s'élèvera à 1 200 000 $, 1 000 000 USD provenant du FEM et 200 000 USD du PNUD. Le FSM constitue un mécanisme d'octroi de subventions et les fonds seront déposés auprès de l'Agence nationale de la microfinance (ANAMIF) qui, comme indiqué précédemment, rend des comptes au bureau du Président et assure déjà la gestion d'un fonds de microfinance mis en place par le gouvernement d'un montant de 18 millions d’USD. Les fonds feront l'objet d'une gestion conjointe entre l'ANAMIF et le PNUD, et seront utilisés afin de couvrir les primes à l'investissement initiales requises par les promoteurs de biogaz, aussi bien au niveau domestique qu'au niveau institutionnel/commercial/industriel. </w:t>
      </w:r>
    </w:p>
    <w:p w:rsidR="00AC6934" w:rsidRPr="001F1343" w:rsidRDefault="00AC6934" w:rsidP="00AC6934">
      <w:pPr>
        <w:spacing w:after="0"/>
        <w:ind w:left="-450" w:right="-698"/>
        <w:rPr>
          <w:rFonts w:ascii="Times New Roman" w:hAnsi="Times New Roman"/>
          <w:bCs/>
          <w:szCs w:val="22"/>
        </w:rPr>
      </w:pPr>
      <w:r>
        <w:rPr>
          <w:rFonts w:ascii="Times New Roman" w:hAnsi="Times New Roman"/>
        </w:rPr>
        <w:t>L'objectif du projet sera atteint grâce à une assistance technique et en facilitant l'investissement des tiers en technologies à base de biogaz. Aucun prêt ou mécanisme de fonds renouvelables avec les fonds du FEM n'est perçu comme nécessaire, et par conséquent le financement par subvention est jugé être l'option la plus adaptée afin d'obt</w:t>
      </w:r>
      <w:r w:rsidR="00797D37">
        <w:rPr>
          <w:rFonts w:ascii="Times New Roman" w:hAnsi="Times New Roman"/>
        </w:rPr>
        <w:t>enir les résultats escomptés.</w:t>
      </w:r>
    </w:p>
    <w:p w:rsidR="00AC6934" w:rsidRPr="001F1343" w:rsidRDefault="00AC6934" w:rsidP="00AC6934">
      <w:pPr>
        <w:spacing w:after="0"/>
        <w:ind w:right="-540"/>
        <w:rPr>
          <w:rFonts w:ascii="Times New Roman" w:hAnsi="Times New Roman"/>
          <w:szCs w:val="22"/>
        </w:rPr>
      </w:pPr>
    </w:p>
    <w:p w:rsidR="00AC6934" w:rsidRPr="001F1343" w:rsidRDefault="00AC6934" w:rsidP="00AC6934">
      <w:pPr>
        <w:pStyle w:val="Titre2"/>
        <w:ind w:hanging="1170"/>
        <w:rPr>
          <w:i w:val="0"/>
        </w:rPr>
      </w:pPr>
      <w:bookmarkStart w:id="40" w:name="_Toc262924490"/>
      <w:bookmarkStart w:id="41" w:name="_Toc418144247"/>
      <w:bookmarkStart w:id="42" w:name="_Toc298586296"/>
      <w:r>
        <w:rPr>
          <w:i w:val="0"/>
        </w:rPr>
        <w:t>Rapport coût-efficacité</w:t>
      </w:r>
      <w:bookmarkEnd w:id="40"/>
      <w:bookmarkEnd w:id="41"/>
      <w:bookmarkEnd w:id="42"/>
    </w:p>
    <w:p w:rsidR="00AC6934" w:rsidRPr="001F1343" w:rsidRDefault="00AC6934" w:rsidP="00AC6934">
      <w:pPr>
        <w:spacing w:after="120"/>
        <w:ind w:left="-450" w:right="-698"/>
        <w:rPr>
          <w:rFonts w:ascii="Times New Roman" w:hAnsi="Times New Roman"/>
          <w:szCs w:val="22"/>
        </w:rPr>
      </w:pPr>
    </w:p>
    <w:p w:rsidR="00AC6934" w:rsidRPr="001F1343" w:rsidRDefault="00AC6934" w:rsidP="00AC6934">
      <w:pPr>
        <w:spacing w:after="120"/>
        <w:ind w:left="-450" w:right="-698"/>
        <w:rPr>
          <w:rFonts w:ascii="Times New Roman" w:hAnsi="Times New Roman"/>
          <w:szCs w:val="22"/>
        </w:rPr>
      </w:pPr>
      <w:r>
        <w:rPr>
          <w:rFonts w:ascii="Times New Roman" w:hAnsi="Times New Roman"/>
        </w:rPr>
        <w:lastRenderedPageBreak/>
        <w:t>Le projet devrait être approuvé à temps pour pouvoir commencer les activités à la mi-2015. Dans ce scénario, on suppose que 400 digesteurs domestiques (6 m</w:t>
      </w:r>
      <w:r>
        <w:rPr>
          <w:rFonts w:ascii="Times New Roman" w:hAnsi="Times New Roman"/>
          <w:vertAlign w:val="superscript"/>
        </w:rPr>
        <w:t>3</w:t>
      </w:r>
      <w:r>
        <w:rPr>
          <w:rFonts w:ascii="Times New Roman" w:hAnsi="Times New Roman"/>
        </w:rPr>
        <w:t>) seront installés lors de la première année, 700 lors de la deuxième année et 900 lors de la troisième année (Tableau 4). La quatrième année, la dernière du projet, sera consacrée à la consolidation des gains obtenus et de la dynamique générée au cours des années précédentes afin d’élargir le programme de digesteurs domestiques. Eu égard aux 10 grands digesteurs pilotes (d'au moins 20 m</w:t>
      </w:r>
      <w:r>
        <w:rPr>
          <w:rFonts w:ascii="Times New Roman" w:hAnsi="Times New Roman"/>
          <w:vertAlign w:val="superscript"/>
        </w:rPr>
        <w:t>3</w:t>
      </w:r>
      <w:r>
        <w:rPr>
          <w:rFonts w:ascii="Times New Roman" w:hAnsi="Times New Roman"/>
        </w:rPr>
        <w:t>) (Tableau 5), 5 d'entre eux doivent être installés lors de la deuxième année du projet et les 5 restants lors de la troisième année. De cette façon, à la fin de la quatrième année du projet, l'ensemble des 2 000 digesteurs domestiques et des 10 grands digesteurs pilotes devraient être opérationnels.</w:t>
      </w:r>
    </w:p>
    <w:p w:rsidR="00AC6934" w:rsidRPr="001F1343" w:rsidRDefault="00AC6934" w:rsidP="00AC6934">
      <w:pPr>
        <w:spacing w:after="120"/>
        <w:ind w:left="-450" w:right="-698"/>
        <w:rPr>
          <w:rFonts w:ascii="Times New Roman" w:hAnsi="Times New Roman"/>
          <w:szCs w:val="22"/>
        </w:rPr>
      </w:pPr>
      <w:r>
        <w:rPr>
          <w:rFonts w:ascii="Times New Roman" w:hAnsi="Times New Roman"/>
        </w:rPr>
        <w:t>Conformément au scénario susmentionné, on estime que 1 200 m</w:t>
      </w:r>
      <w:r>
        <w:rPr>
          <w:rFonts w:ascii="Times New Roman" w:hAnsi="Times New Roman"/>
          <w:vertAlign w:val="superscript"/>
        </w:rPr>
        <w:t>3</w:t>
      </w:r>
      <w:r>
        <w:rPr>
          <w:rFonts w:ascii="Times New Roman" w:hAnsi="Times New Roman"/>
        </w:rPr>
        <w:t xml:space="preserve"> de biogaz/jour seront générés uniquement par les digesteurs domestiques à la fin de la première année, 4 580 m</w:t>
      </w:r>
      <w:r>
        <w:rPr>
          <w:rFonts w:ascii="Times New Roman" w:hAnsi="Times New Roman"/>
          <w:vertAlign w:val="superscript"/>
        </w:rPr>
        <w:t>3</w:t>
      </w:r>
      <w:r>
        <w:rPr>
          <w:rFonts w:ascii="Times New Roman" w:hAnsi="Times New Roman"/>
        </w:rPr>
        <w:t xml:space="preserve"> de biogaz/jour par les digesteurs domestiques et les digesteurs à grande échelle à la fin de la deuxième année, 9 545 m</w:t>
      </w:r>
      <w:r>
        <w:rPr>
          <w:rFonts w:ascii="Times New Roman" w:hAnsi="Times New Roman"/>
          <w:vertAlign w:val="superscript"/>
        </w:rPr>
        <w:t>3</w:t>
      </w:r>
      <w:r>
        <w:rPr>
          <w:rFonts w:ascii="Times New Roman" w:hAnsi="Times New Roman"/>
        </w:rPr>
        <w:t xml:space="preserve"> de biogaz/jour, là encore, par les digesteurs domestiques et les digesteurs à grande échelle à la fin de la troisième année, et enfin 12 230 m</w:t>
      </w:r>
      <w:r>
        <w:rPr>
          <w:rFonts w:ascii="Times New Roman" w:hAnsi="Times New Roman"/>
          <w:vertAlign w:val="superscript"/>
        </w:rPr>
        <w:t>3</w:t>
      </w:r>
      <w:r>
        <w:rPr>
          <w:rFonts w:ascii="Times New Roman" w:hAnsi="Times New Roman"/>
        </w:rPr>
        <w:t xml:space="preserve"> de biogaz/jour par les digesteurs domestiques et les digesteurs à grande échelle lors de la quatrième année du projet. Ainsi, une fois le projet arrivé à son terme, 10 051 575 m</w:t>
      </w:r>
      <w:r>
        <w:rPr>
          <w:rFonts w:ascii="Times New Roman" w:hAnsi="Times New Roman"/>
          <w:vertAlign w:val="superscript"/>
        </w:rPr>
        <w:t>3</w:t>
      </w:r>
      <w:r>
        <w:rPr>
          <w:rFonts w:ascii="Times New Roman" w:hAnsi="Times New Roman"/>
        </w:rPr>
        <w:t xml:space="preserve"> de biogaz auront été générés et une génération annuelle de biogaz de 4 463 950 m</w:t>
      </w:r>
      <w:r>
        <w:rPr>
          <w:rFonts w:ascii="Times New Roman" w:hAnsi="Times New Roman"/>
          <w:vertAlign w:val="superscript"/>
        </w:rPr>
        <w:t>3</w:t>
      </w:r>
      <w:r>
        <w:rPr>
          <w:rFonts w:ascii="Times New Roman" w:hAnsi="Times New Roman"/>
        </w:rPr>
        <w:t xml:space="preserve"> serait dégagée dans l'hypothèse où les digesteurs installés dans le cadre du projet auraient un cycle de vie de 20 ans, sans compter les digesteurs supplémentaires qui pourraient être installés suite à la dynamique suscitée par le projet. Toute l'énergie obtenue grâce à cette génération de biogaz l'aurait autrement été via la combustion du bois de chauffage. Grâce à l'utilisation du biogaz, non seulement la déforestation sera réduite mais les forêts continueront de servir de « puits de carbone ». </w:t>
      </w:r>
    </w:p>
    <w:p w:rsidR="00AC6934" w:rsidRPr="001F1343" w:rsidRDefault="00AC6934" w:rsidP="00AC6934">
      <w:pPr>
        <w:spacing w:after="120"/>
        <w:ind w:left="-450" w:right="-698"/>
        <w:rPr>
          <w:rFonts w:ascii="Times New Roman" w:hAnsi="Times New Roman"/>
          <w:szCs w:val="22"/>
        </w:rPr>
      </w:pPr>
      <w:r>
        <w:rPr>
          <w:rFonts w:ascii="Times New Roman" w:hAnsi="Times New Roman"/>
        </w:rPr>
        <w:t>Le pouvoir calorifique du biogaz se situe aux alentours (en fonction de la teneur en méthane) de 20-26 MJ/m</w:t>
      </w:r>
      <w:r>
        <w:rPr>
          <w:rFonts w:ascii="Times New Roman" w:hAnsi="Times New Roman"/>
          <w:vertAlign w:val="superscript"/>
        </w:rPr>
        <w:t>3</w:t>
      </w:r>
      <w:r>
        <w:rPr>
          <w:rFonts w:ascii="Times New Roman" w:hAnsi="Times New Roman"/>
        </w:rPr>
        <w:t xml:space="preserve"> (Source : Agri-Food and Biosciences Institute, Royaume-Uni, août 2010) et, à des fins de calcul dans le cadre du présent projet, la valeur moyenne de 23 MJ/m</w:t>
      </w:r>
      <w:r>
        <w:rPr>
          <w:rFonts w:ascii="Times New Roman" w:hAnsi="Times New Roman"/>
          <w:vertAlign w:val="superscript"/>
        </w:rPr>
        <w:t>3</w:t>
      </w:r>
      <w:r>
        <w:rPr>
          <w:rFonts w:ascii="Times New Roman" w:hAnsi="Times New Roman"/>
        </w:rPr>
        <w:t xml:space="preserve"> est retenue. De plus, conformément aux directives du GIEC, l’effet potentiel d'atténuation du réchauffement global lié au biogaz est de 81,5 g/MJ ou équivalent à 1,87 kg/m</w:t>
      </w:r>
      <w:r>
        <w:rPr>
          <w:rFonts w:ascii="Times New Roman" w:hAnsi="Times New Roman"/>
          <w:vertAlign w:val="superscript"/>
        </w:rPr>
        <w:t>3</w:t>
      </w:r>
      <w:r>
        <w:rPr>
          <w:rFonts w:ascii="Times New Roman" w:hAnsi="Times New Roman"/>
        </w:rPr>
        <w:t>. Par conséquent, durant les 4 années du projet, près de 19 000 tonnes de CO</w:t>
      </w:r>
      <w:r>
        <w:rPr>
          <w:rFonts w:ascii="Times New Roman" w:hAnsi="Times New Roman"/>
          <w:vertAlign w:val="subscript"/>
        </w:rPr>
        <w:t xml:space="preserve">2 </w:t>
      </w:r>
      <w:r>
        <w:rPr>
          <w:rFonts w:ascii="Times New Roman" w:hAnsi="Times New Roman"/>
        </w:rPr>
        <w:t>(10 051 575 m</w:t>
      </w:r>
      <w:r>
        <w:rPr>
          <w:rFonts w:ascii="Times New Roman" w:hAnsi="Times New Roman"/>
          <w:vertAlign w:val="superscript"/>
        </w:rPr>
        <w:t>3</w:t>
      </w:r>
      <w:r>
        <w:rPr>
          <w:rFonts w:ascii="Times New Roman" w:hAnsi="Times New Roman"/>
        </w:rPr>
        <w:t xml:space="preserve"> x 1,87 kg/m</w:t>
      </w:r>
      <w:r>
        <w:rPr>
          <w:rFonts w:ascii="Times New Roman" w:hAnsi="Times New Roman"/>
          <w:vertAlign w:val="superscript"/>
        </w:rPr>
        <w:t>3</w:t>
      </w:r>
      <w:r>
        <w:rPr>
          <w:rFonts w:ascii="Times New Roman" w:hAnsi="Times New Roman"/>
        </w:rPr>
        <w:t>) auront été évitées, soit 139 $ de fonds du FEM par tCO</w:t>
      </w:r>
      <w:r>
        <w:rPr>
          <w:rFonts w:ascii="Times New Roman" w:hAnsi="Times New Roman"/>
          <w:vertAlign w:val="subscript"/>
        </w:rPr>
        <w:t>2</w:t>
      </w:r>
      <w:r>
        <w:rPr>
          <w:rFonts w:ascii="Times New Roman" w:hAnsi="Times New Roman"/>
        </w:rPr>
        <w:t>. Toutefois, ces digesteurs à biogaz permettront encore d'éviter 8 350 tCO</w:t>
      </w:r>
      <w:r>
        <w:rPr>
          <w:rFonts w:ascii="Times New Roman" w:hAnsi="Times New Roman"/>
          <w:vertAlign w:val="subscript"/>
        </w:rPr>
        <w:t>2</w:t>
      </w:r>
      <w:r>
        <w:rPr>
          <w:rFonts w:ascii="Times New Roman" w:hAnsi="Times New Roman"/>
        </w:rPr>
        <w:t xml:space="preserve"> (4 463 950 m</w:t>
      </w:r>
      <w:r>
        <w:rPr>
          <w:rFonts w:ascii="Times New Roman" w:hAnsi="Times New Roman"/>
          <w:vertAlign w:val="superscript"/>
        </w:rPr>
        <w:t>3</w:t>
      </w:r>
      <w:r>
        <w:rPr>
          <w:rFonts w:ascii="Times New Roman" w:hAnsi="Times New Roman"/>
        </w:rPr>
        <w:t xml:space="preserve"> x 1,87 kg/m</w:t>
      </w:r>
      <w:r>
        <w:rPr>
          <w:rFonts w:ascii="Times New Roman" w:hAnsi="Times New Roman"/>
          <w:vertAlign w:val="superscript"/>
        </w:rPr>
        <w:t>3</w:t>
      </w:r>
      <w:r>
        <w:rPr>
          <w:rFonts w:ascii="Times New Roman" w:hAnsi="Times New Roman"/>
        </w:rPr>
        <w:t>) par an lors des 16 à 18 ans qui leur restera de vie utile. Sur les 20 ans de vie des digesteurs à biogaz destinés à être installés pendant la durée du projet, ils auront évité 179 000 tCO</w:t>
      </w:r>
      <w:r>
        <w:rPr>
          <w:rFonts w:ascii="Times New Roman" w:hAnsi="Times New Roman"/>
          <w:vertAlign w:val="subscript"/>
        </w:rPr>
        <w:t>2</w:t>
      </w:r>
      <w:r>
        <w:rPr>
          <w:rFonts w:ascii="Times New Roman" w:hAnsi="Times New Roman"/>
        </w:rPr>
        <w:t>, soit 14,79 $ de fonds du FEM par tCO</w:t>
      </w:r>
      <w:r>
        <w:rPr>
          <w:rFonts w:ascii="Times New Roman" w:hAnsi="Times New Roman"/>
          <w:vertAlign w:val="subscript"/>
        </w:rPr>
        <w:t>2</w:t>
      </w:r>
      <w:r>
        <w:rPr>
          <w:rFonts w:ascii="Times New Roman" w:hAnsi="Times New Roman"/>
        </w:rPr>
        <w:t xml:space="preserve">. En outre, le financement du FEM doit être vu comme créant les conditions requises au lancement du marché du biogaz en Guinée qui aideront à galvaniser le gouvernement et le secteur privé. Il y aura donc un fort potentiel de réduction « indirecte » des émissions de GES une fois que le marché aura atteint son rythme de croisière. </w:t>
      </w:r>
    </w:p>
    <w:p w:rsidR="00AC6934" w:rsidRPr="001F1343" w:rsidRDefault="00AC6934" w:rsidP="00AC6934">
      <w:pPr>
        <w:spacing w:after="120"/>
        <w:ind w:left="-450" w:right="-698"/>
        <w:rPr>
          <w:rFonts w:ascii="Times New Roman" w:hAnsi="Times New Roman"/>
          <w:szCs w:val="22"/>
        </w:rPr>
      </w:pPr>
      <w:r>
        <w:rPr>
          <w:rFonts w:ascii="Times New Roman" w:hAnsi="Times New Roman"/>
        </w:rPr>
        <w:t>Enfin, dans l'hypothèse où le biogaz générerait un intérêt marqué lors de la mise en œuvre du projet et au vu du climat propice à l'investissement en biogaz que le projet aurait réussi à susciter, il est fort probable qu'un grand nombre de nouveaux digesteurs soient construits dans les 10 ans suivant le projet, dépassant largement le nombre de digesteurs installés lors de la période de mise en œuvre du projet de 4 ans. Ainsi, la réduction indirecte des émissions de CO</w:t>
      </w:r>
      <w:r>
        <w:rPr>
          <w:rFonts w:ascii="Times New Roman" w:hAnsi="Times New Roman"/>
          <w:vertAlign w:val="subscript"/>
        </w:rPr>
        <w:t>2</w:t>
      </w:r>
      <w:r>
        <w:rPr>
          <w:rFonts w:ascii="Times New Roman" w:hAnsi="Times New Roman"/>
        </w:rPr>
        <w:t xml:space="preserve"> après la fin du projet à mettre uniquement au crédit des digesteurs à biogaz supplémentaires installés tout au long de leur durée de vie de 20 ans, sur la base d'un scénario politique prudent et d'un lien de causalité avec le FEM de 80 % (approche descendante), peut être estimée à 961 000 tonnes de CO</w:t>
      </w:r>
      <w:r>
        <w:rPr>
          <w:rFonts w:ascii="Times New Roman" w:hAnsi="Times New Roman"/>
          <w:vertAlign w:val="subscript"/>
        </w:rPr>
        <w:t>2</w:t>
      </w:r>
      <w:r>
        <w:rPr>
          <w:rFonts w:ascii="Times New Roman" w:hAnsi="Times New Roman"/>
        </w:rPr>
        <w:t>. Dans le cas d'une approche ascendante, avec un facteur de transposition de 3, la réduction indirecte des émissions de CO</w:t>
      </w:r>
      <w:r>
        <w:rPr>
          <w:rFonts w:ascii="Times New Roman" w:hAnsi="Times New Roman"/>
          <w:vertAlign w:val="subscript"/>
        </w:rPr>
        <w:t>2</w:t>
      </w:r>
      <w:r>
        <w:rPr>
          <w:rFonts w:ascii="Times New Roman" w:hAnsi="Times New Roman"/>
        </w:rPr>
        <w:t xml:space="preserve"> après la fin du projet serait de 501 000 tonnes de CO</w:t>
      </w:r>
      <w:r>
        <w:rPr>
          <w:rFonts w:ascii="Times New Roman" w:hAnsi="Times New Roman"/>
          <w:vertAlign w:val="subscript"/>
        </w:rPr>
        <w:t>2</w:t>
      </w:r>
      <w:r>
        <w:rPr>
          <w:rFonts w:ascii="Times New Roman" w:hAnsi="Times New Roman"/>
        </w:rPr>
        <w:t>. Le Tableau 7 ci-dessous résume la réduction directe et indirecte totale des émissions de CO</w:t>
      </w:r>
      <w:r>
        <w:rPr>
          <w:rFonts w:ascii="Times New Roman" w:hAnsi="Times New Roman"/>
          <w:vertAlign w:val="subscript"/>
        </w:rPr>
        <w:t>2</w:t>
      </w:r>
      <w:r>
        <w:rPr>
          <w:rFonts w:ascii="Times New Roman" w:hAnsi="Times New Roman"/>
        </w:rPr>
        <w:t xml:space="preserve"> lors de la mise en œuvre du projet et au-delà.</w:t>
      </w:r>
    </w:p>
    <w:p w:rsidR="00AC6934" w:rsidRPr="001F1343" w:rsidRDefault="00AC6934" w:rsidP="00AC6934">
      <w:pPr>
        <w:spacing w:after="120"/>
        <w:ind w:left="-450" w:right="-698"/>
        <w:rPr>
          <w:rFonts w:ascii="Times New Roman" w:hAnsi="Times New Roman"/>
          <w:szCs w:val="22"/>
        </w:rPr>
      </w:pPr>
      <w:r>
        <w:rPr>
          <w:rFonts w:ascii="Times New Roman" w:hAnsi="Times New Roman"/>
        </w:rPr>
        <w:t>Toutefois, en raison des fuites de méthane potentielles (les Lignes directrices du GIEC pour les inventaires nationaux de gaz à effet de serre de 2006, volume 4, chapitre 10, précisent une valeur par défaut de 10 % du potentiel de production de méthane maximum pour les fuites de digesteurs anaérobies - valeur par défaut du GIEC). Dans un souci de prudence, les réductions des émissions de CO2 ont été diminuées de 10 % afin de prendre en compte toute fuite de méthane potentielle.</w:t>
      </w:r>
    </w:p>
    <w:p w:rsidR="00AC6934" w:rsidRPr="001F1343" w:rsidRDefault="00AC6934" w:rsidP="00AC6934">
      <w:pPr>
        <w:spacing w:after="120"/>
        <w:ind w:left="-450" w:right="-698"/>
        <w:rPr>
          <w:szCs w:val="22"/>
        </w:rPr>
      </w:pPr>
      <w:r>
        <w:rPr>
          <w:rFonts w:ascii="Times New Roman" w:hAnsi="Times New Roman"/>
        </w:rPr>
        <w:t>On attend de ce projet une réduction directe de 161 100 tCO2 et une réduction indirecte de 864 900 tCO</w:t>
      </w:r>
      <w:r>
        <w:rPr>
          <w:rFonts w:ascii="Times New Roman" w:hAnsi="Times New Roman"/>
          <w:vertAlign w:val="subscript"/>
        </w:rPr>
        <w:t>2</w:t>
      </w:r>
      <w:r>
        <w:rPr>
          <w:rFonts w:ascii="Times New Roman" w:hAnsi="Times New Roman"/>
        </w:rPr>
        <w:t>, pour un total de 1 026 000 tCO</w:t>
      </w:r>
      <w:r>
        <w:rPr>
          <w:rFonts w:ascii="Times New Roman" w:hAnsi="Times New Roman"/>
          <w:vertAlign w:val="subscript"/>
        </w:rPr>
        <w:t>2</w:t>
      </w:r>
      <w:r>
        <w:rPr>
          <w:rFonts w:ascii="Times New Roman" w:hAnsi="Times New Roman"/>
        </w:rPr>
        <w:t xml:space="preserve"> sur les 20 ans de durée de vie des digesteurs installés. Le coût de réduction par unité équivaut à 16,4 $ de fonds du FEM par tCO2 (directe) et à 3,0 $ de fonds du FEM par tCO2 (indirecte).</w:t>
      </w:r>
    </w:p>
    <w:p w:rsidR="00AC6934" w:rsidRPr="001F1343" w:rsidRDefault="00AC6934" w:rsidP="00AC6934">
      <w:pPr>
        <w:spacing w:after="120"/>
        <w:ind w:left="-450" w:right="-698"/>
        <w:rPr>
          <w:rFonts w:ascii="Times New Roman" w:hAnsi="Times New Roman"/>
          <w:szCs w:val="22"/>
        </w:rPr>
      </w:pPr>
    </w:p>
    <w:p w:rsidR="00AC6934" w:rsidRPr="001F1343" w:rsidRDefault="00AC6934" w:rsidP="00AC6934">
      <w:pPr>
        <w:pStyle w:val="NumberedParas"/>
        <w:numPr>
          <w:ilvl w:val="0"/>
          <w:numId w:val="0"/>
        </w:numPr>
        <w:ind w:left="360"/>
        <w:jc w:val="center"/>
        <w:rPr>
          <w:b/>
          <w:sz w:val="22"/>
        </w:rPr>
      </w:pPr>
      <w:r>
        <w:rPr>
          <w:b/>
          <w:sz w:val="22"/>
        </w:rPr>
        <w:t>Tableau 7 : Impacts de la réduction des émissions de GES du projet</w:t>
      </w:r>
    </w:p>
    <w:p w:rsidR="00AC6934" w:rsidRPr="001F1343" w:rsidRDefault="00AC6934" w:rsidP="00AC6934">
      <w:pPr>
        <w:spacing w:after="120"/>
        <w:ind w:left="-450" w:right="-698"/>
        <w:jc w:val="center"/>
        <w:rPr>
          <w:rFonts w:ascii="Times New Roman" w:hAnsi="Times New Roman"/>
          <w:szCs w:val="22"/>
        </w:rPr>
      </w:pPr>
    </w:p>
    <w:tbl>
      <w:tblPr>
        <w:tblW w:w="104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2409"/>
        <w:gridCol w:w="4680"/>
      </w:tblGrid>
      <w:tr w:rsidR="00AC6934" w:rsidRPr="001F1343" w:rsidTr="00AC6934">
        <w:tc>
          <w:tcPr>
            <w:tcW w:w="3403"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Période</w:t>
            </w:r>
          </w:p>
        </w:tc>
        <w:tc>
          <w:tcPr>
            <w:tcW w:w="2409"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Réduction directe lors du projet sans transposition (pour un cycle de vie de 20 ans des digesteurs).</w:t>
            </w:r>
          </w:p>
        </w:tc>
        <w:tc>
          <w:tcPr>
            <w:tcW w:w="4680"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 xml:space="preserve">Réduction indirecte après le projet (approche descendante) avec </w:t>
            </w:r>
            <w:r w:rsidR="00971642">
              <w:rPr>
                <w:rFonts w:ascii="Times New Roman" w:hAnsi="Times New Roman"/>
              </w:rPr>
              <w:t>transposition (sur la base de 8 </w:t>
            </w:r>
            <w:r>
              <w:rPr>
                <w:rFonts w:ascii="Times New Roman" w:hAnsi="Times New Roman"/>
              </w:rPr>
              <w:t>000 digesteurs domestiques et 1 000 digesteurs à grande échelle sur les 10 prochaines années d’influence du projet).</w:t>
            </w:r>
          </w:p>
        </w:tc>
      </w:tr>
      <w:tr w:rsidR="00AC6934" w:rsidRPr="001F1343" w:rsidTr="00AC6934">
        <w:tc>
          <w:tcPr>
            <w:tcW w:w="3403" w:type="dxa"/>
          </w:tcPr>
          <w:p w:rsidR="00AC6934" w:rsidRPr="001F1343" w:rsidRDefault="00AC6934" w:rsidP="00AC6934">
            <w:pPr>
              <w:tabs>
                <w:tab w:val="center" w:pos="4320"/>
                <w:tab w:val="right" w:pos="8640"/>
              </w:tabs>
              <w:spacing w:after="120"/>
              <w:rPr>
                <w:rFonts w:ascii="Times New Roman" w:hAnsi="Times New Roman"/>
                <w:szCs w:val="22"/>
              </w:rPr>
            </w:pPr>
            <w:r>
              <w:rPr>
                <w:rFonts w:ascii="Times New Roman" w:hAnsi="Times New Roman"/>
              </w:rPr>
              <w:t>Réduction totale des émissions de CO2 (tonnes)</w:t>
            </w:r>
          </w:p>
        </w:tc>
        <w:tc>
          <w:tcPr>
            <w:tcW w:w="2409"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161 100</w:t>
            </w:r>
          </w:p>
        </w:tc>
        <w:tc>
          <w:tcPr>
            <w:tcW w:w="4680"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 xml:space="preserve"> 864 900</w:t>
            </w:r>
          </w:p>
        </w:tc>
      </w:tr>
      <w:tr w:rsidR="00AC6934" w:rsidRPr="001F1343" w:rsidTr="00AC6934">
        <w:tc>
          <w:tcPr>
            <w:tcW w:w="3403" w:type="dxa"/>
          </w:tcPr>
          <w:p w:rsidR="00AC6934" w:rsidRPr="001F1343" w:rsidRDefault="00AC6934" w:rsidP="00AC6934">
            <w:pPr>
              <w:tabs>
                <w:tab w:val="center" w:pos="4320"/>
                <w:tab w:val="right" w:pos="8640"/>
              </w:tabs>
              <w:spacing w:after="120"/>
              <w:rPr>
                <w:rFonts w:ascii="Times New Roman" w:hAnsi="Times New Roman"/>
                <w:szCs w:val="22"/>
              </w:rPr>
            </w:pPr>
            <w:r>
              <w:rPr>
                <w:rFonts w:ascii="Times New Roman" w:hAnsi="Times New Roman"/>
              </w:rPr>
              <w:t>Coût de réduction par unité des fonds du FEM</w:t>
            </w:r>
          </w:p>
        </w:tc>
        <w:tc>
          <w:tcPr>
            <w:tcW w:w="2409"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16,4 $</w:t>
            </w:r>
          </w:p>
        </w:tc>
        <w:tc>
          <w:tcPr>
            <w:tcW w:w="4680" w:type="dxa"/>
          </w:tcPr>
          <w:p w:rsidR="00AC6934" w:rsidRPr="001F1343" w:rsidRDefault="00AC6934" w:rsidP="00AC6934">
            <w:pPr>
              <w:tabs>
                <w:tab w:val="center" w:pos="4320"/>
                <w:tab w:val="right" w:pos="8640"/>
              </w:tabs>
              <w:spacing w:after="120"/>
              <w:jc w:val="center"/>
              <w:rPr>
                <w:rFonts w:ascii="Times New Roman" w:hAnsi="Times New Roman"/>
                <w:szCs w:val="22"/>
              </w:rPr>
            </w:pPr>
            <w:r>
              <w:rPr>
                <w:rFonts w:ascii="Times New Roman" w:hAnsi="Times New Roman"/>
              </w:rPr>
              <w:t>3,0 $</w:t>
            </w:r>
          </w:p>
        </w:tc>
      </w:tr>
    </w:tbl>
    <w:p w:rsidR="00AC6934" w:rsidRPr="001F1343" w:rsidRDefault="00AC6934" w:rsidP="00AC6934">
      <w:pPr>
        <w:spacing w:after="120"/>
        <w:ind w:left="-450" w:right="-698"/>
        <w:rPr>
          <w:rFonts w:ascii="Times New Roman" w:hAnsi="Times New Roman"/>
          <w:szCs w:val="22"/>
        </w:rPr>
      </w:pPr>
    </w:p>
    <w:p w:rsidR="00AC6934" w:rsidRPr="001F1343" w:rsidRDefault="00AC6934" w:rsidP="00AC6934">
      <w:pPr>
        <w:pStyle w:val="Titre2"/>
        <w:ind w:hanging="1170"/>
        <w:rPr>
          <w:rFonts w:ascii="Times New Roman" w:hAnsi="Times New Roman"/>
          <w:b w:val="0"/>
          <w:i w:val="0"/>
          <w:szCs w:val="22"/>
        </w:rPr>
      </w:pPr>
      <w:bookmarkStart w:id="43" w:name="_Toc262924491"/>
      <w:bookmarkStart w:id="44" w:name="_Toc418144248"/>
      <w:bookmarkStart w:id="45" w:name="_Toc298586297"/>
      <w:r>
        <w:rPr>
          <w:i w:val="0"/>
        </w:rPr>
        <w:t>Durabilité</w:t>
      </w:r>
      <w:bookmarkEnd w:id="43"/>
      <w:bookmarkEnd w:id="44"/>
      <w:bookmarkEnd w:id="45"/>
    </w:p>
    <w:p w:rsidR="00AC6934" w:rsidRPr="001F1343" w:rsidRDefault="00AC6934" w:rsidP="00AC6934">
      <w:pPr>
        <w:tabs>
          <w:tab w:val="left" w:pos="2160"/>
        </w:tabs>
        <w:ind w:left="-450" w:right="-698"/>
        <w:rPr>
          <w:rFonts w:ascii="Times New Roman" w:hAnsi="Times New Roman"/>
          <w:bCs/>
          <w:szCs w:val="22"/>
        </w:rPr>
      </w:pPr>
      <w:r>
        <w:rPr>
          <w:rFonts w:ascii="Times New Roman" w:hAnsi="Times New Roman"/>
        </w:rPr>
        <w:t xml:space="preserve">D'un point de vue technique, la viabilité des technologies à base de biogaz utilisant des déchets agricoles a désormais été prouvée depuis de nombreuses années dans plusieurs pays en développement, y compris dans certains pays africains. En s'attaquant aux obstacles non techniques empêchant le développement de technologies à base de biogaz en Guinée, le projet aidera à la création d'une niche durable via le renforcement des capacités politiques, institutionnelles, juridiques, règlementaires et opérationnelles des principales institutions nationales, le soutien au développement des technologies à base de biogaz en adoptant une approche axée sur le marché, en développant les capacités nationales et en diffusant des informations. Ces efforts devraient garantir la durabilité à long terme des technologies à base de biogaz sur le territoire. </w:t>
      </w:r>
    </w:p>
    <w:p w:rsidR="00AC6934" w:rsidRPr="001F1343" w:rsidRDefault="00AC6934" w:rsidP="00AC6934">
      <w:pPr>
        <w:tabs>
          <w:tab w:val="left" w:pos="2160"/>
        </w:tabs>
        <w:ind w:left="-450" w:right="-698"/>
        <w:rPr>
          <w:rFonts w:ascii="Times New Roman" w:hAnsi="Times New Roman"/>
          <w:bCs/>
          <w:szCs w:val="22"/>
        </w:rPr>
      </w:pPr>
      <w:r>
        <w:rPr>
          <w:rFonts w:ascii="Times New Roman" w:hAnsi="Times New Roman"/>
        </w:rPr>
        <w:t>D'un point de vue financier, le projet favorisera l'intégration de la main-d'œuvre et des industries locales dans le secteur des technologies à base de biogaz. Pour ce faire, un soutien ciblé sera apporté aux exploitants intervenant dans le secteur agricole, au développement des capacités des maçons en matière de construction de digesteurs domestiques de qualité, aux ateliers d'ingénierie spécialisée locaux pour la fabrication de cuisinières et lampes à gaz et aux sociétés d'ingénierie pour la conception, la construction, l'installation, l'exploitation, l'entretien et la réparation d'équipements associés aux digesteurs institutionnels/commerciaux/industriels et équipements connexes. Avec l'augmentation au fil du temps des installations de digesteurs à biogaz, on peut prévoir la consolidation de ces initiatives et la création</w:t>
      </w:r>
      <w:r w:rsidR="0076445A">
        <w:rPr>
          <w:rFonts w:ascii="Times New Roman" w:hAnsi="Times New Roman"/>
        </w:rPr>
        <w:t xml:space="preserve"> </w:t>
      </w:r>
      <w:r>
        <w:rPr>
          <w:rFonts w:ascii="Times New Roman" w:hAnsi="Times New Roman"/>
        </w:rPr>
        <w:t>d’emplois pour les nouveaux acteurs du secteur des technologies à base de biogaz.</w:t>
      </w:r>
    </w:p>
    <w:p w:rsidR="00AC6934" w:rsidRPr="001F1343" w:rsidRDefault="00AC6934" w:rsidP="00AC6934">
      <w:pPr>
        <w:tabs>
          <w:tab w:val="left" w:pos="2160"/>
        </w:tabs>
        <w:ind w:left="-450" w:right="-698"/>
        <w:rPr>
          <w:rFonts w:ascii="Times New Roman" w:hAnsi="Times New Roman"/>
          <w:bCs/>
          <w:szCs w:val="22"/>
        </w:rPr>
      </w:pPr>
    </w:p>
    <w:p w:rsidR="00AC6934" w:rsidRPr="001F1343" w:rsidRDefault="00AC6934" w:rsidP="00AC6934">
      <w:pPr>
        <w:pStyle w:val="Titre2"/>
        <w:ind w:hanging="1170"/>
        <w:rPr>
          <w:i w:val="0"/>
        </w:rPr>
      </w:pPr>
      <w:bookmarkStart w:id="46" w:name="_Toc262924492"/>
      <w:bookmarkStart w:id="47" w:name="_Toc418144249"/>
      <w:bookmarkStart w:id="48" w:name="_Toc298586298"/>
      <w:r>
        <w:rPr>
          <w:i w:val="0"/>
        </w:rPr>
        <w:t>Transposabilité</w:t>
      </w:r>
      <w:bookmarkEnd w:id="46"/>
      <w:bookmarkEnd w:id="47"/>
      <w:bookmarkEnd w:id="48"/>
      <w:r>
        <w:rPr>
          <w:i w:val="0"/>
        </w:rPr>
        <w:t xml:space="preserve"> </w:t>
      </w:r>
    </w:p>
    <w:p w:rsidR="00AC6934" w:rsidRPr="001F1343" w:rsidRDefault="00AC6934" w:rsidP="00AC6934">
      <w:pPr>
        <w:spacing w:after="0"/>
        <w:ind w:left="-450" w:right="-698"/>
        <w:rPr>
          <w:rFonts w:ascii="Times New Roman" w:hAnsi="Times New Roman"/>
          <w:b/>
          <w:i/>
          <w:szCs w:val="22"/>
        </w:rPr>
      </w:pPr>
      <w:r>
        <w:rPr>
          <w:rFonts w:ascii="Times New Roman" w:hAnsi="Times New Roman"/>
        </w:rPr>
        <w:t>Il existe un fort potentiel de transposabilité du projet sur le territoire guinéen au vu du grand nombre d'animaux d'élevage du pays et étant donné que le projet adoptera une approche ascendante au sein du cadre politique/d'investissement global qu'on envisage de développer afin de promouvoir la production et l'utilisation du biogaz. L'assistance technique devant être apportée dans le cadre du FSP afin de supprimer les obstacles et de renforcer les institutions facilitera cette transposabilité dans la mesure où elle créera les conditions institutionnelles, politiques et techniques requises pour susciter un nouveau l'intérêt des investisseurs eu égard au développement de nouveaux projets dans ce domaine. De plus, les enseignements tirés seront particulièrement utiles pour les pays voisins partageant une base de ressources similaire, s'ils décident de puiser dans leurs ressources en biomasse d'origine agricole respectives à des fins de développement et d'utilisation de biogaz.</w:t>
      </w:r>
    </w:p>
    <w:p w:rsidR="00AC6934" w:rsidRPr="001F1343" w:rsidRDefault="00AC6934" w:rsidP="00AC6934">
      <w:pPr>
        <w:tabs>
          <w:tab w:val="left" w:pos="2160"/>
        </w:tabs>
        <w:ind w:left="-450" w:right="-698"/>
        <w:rPr>
          <w:rFonts w:ascii="Times New Roman" w:hAnsi="Times New Roman"/>
          <w:bCs/>
          <w:szCs w:val="22"/>
        </w:rPr>
      </w:pPr>
    </w:p>
    <w:p w:rsidR="00AC6934" w:rsidRPr="001F1343" w:rsidRDefault="00AC6934" w:rsidP="00AC6934">
      <w:pPr>
        <w:pStyle w:val="Titre2"/>
        <w:spacing w:after="240"/>
        <w:ind w:left="-450" w:right="-698"/>
        <w:rPr>
          <w:i w:val="0"/>
        </w:rPr>
      </w:pPr>
      <w:bookmarkStart w:id="49" w:name="_Toc262924493"/>
      <w:bookmarkStart w:id="50" w:name="_Toc418144250"/>
      <w:bookmarkStart w:id="51" w:name="_Toc298586299"/>
      <w:r>
        <w:rPr>
          <w:i w:val="0"/>
        </w:rPr>
        <w:t>Coordination avec d'autres initiatives relevant du FEM</w:t>
      </w:r>
      <w:bookmarkEnd w:id="49"/>
      <w:bookmarkEnd w:id="50"/>
      <w:bookmarkEnd w:id="51"/>
    </w:p>
    <w:p w:rsidR="00AC6934" w:rsidRPr="001F1343" w:rsidRDefault="00AC6934" w:rsidP="000C4537">
      <w:pPr>
        <w:pStyle w:val="Paragraphedeliste"/>
        <w:numPr>
          <w:ilvl w:val="0"/>
          <w:numId w:val="23"/>
        </w:numPr>
        <w:ind w:right="-691"/>
        <w:rPr>
          <w:rFonts w:ascii="Times New Roman" w:hAnsi="Times New Roman"/>
        </w:rPr>
      </w:pPr>
      <w:r>
        <w:rPr>
          <w:rFonts w:ascii="Times New Roman" w:hAnsi="Times New Roman"/>
        </w:rPr>
        <w:t xml:space="preserve">Adaptation basée sur les écosystèmes des communautés vulnérables de la Haute Guinée : Ce projet d'une durée de sept ans et d'un montant de 8 millions de dollars a été approuvé en mai 2013 et est mis en œuvre par le ministère de l'Environnement, des Eaux et Forêts. Son objectif consiste à réduire la vulnérabilité des </w:t>
      </w:r>
      <w:r>
        <w:rPr>
          <w:rFonts w:ascii="Times New Roman" w:hAnsi="Times New Roman"/>
        </w:rPr>
        <w:lastRenderedPageBreak/>
        <w:t>communautés locales du Bassin du Haut-Niger aux nouveaux risques posés par le changement climatique et à renforcer leur résilience via une approche fondée sur les écosystèmes se concentrant sur les bassins versants, les pratiques en matière d'utilisation des terres et les capacités adaptatives.</w:t>
      </w:r>
    </w:p>
    <w:p w:rsidR="00AC6934" w:rsidRPr="001F1343" w:rsidRDefault="00AC6934" w:rsidP="00AC6934">
      <w:pPr>
        <w:pStyle w:val="Paragraphedeliste"/>
      </w:pPr>
    </w:p>
    <w:p w:rsidR="00AC6934" w:rsidRPr="001F1343" w:rsidRDefault="00AC6934" w:rsidP="000C4537">
      <w:pPr>
        <w:pStyle w:val="Paragraphedeliste"/>
        <w:numPr>
          <w:ilvl w:val="0"/>
          <w:numId w:val="21"/>
        </w:numPr>
        <w:tabs>
          <w:tab w:val="center" w:pos="810"/>
          <w:tab w:val="right" w:pos="8640"/>
        </w:tabs>
        <w:spacing w:after="200"/>
        <w:ind w:right="-698"/>
        <w:rPr>
          <w:rFonts w:ascii="Times New Roman" w:hAnsi="Times New Roman"/>
          <w:szCs w:val="22"/>
        </w:rPr>
      </w:pPr>
      <w:bookmarkStart w:id="52" w:name="_Toc262924494"/>
      <w:r>
        <w:rPr>
          <w:rFonts w:ascii="Times New Roman" w:hAnsi="Times New Roman"/>
        </w:rPr>
        <w:t>Tel qu'indiqué précédemment, la Guinée participe déjà au projet PROGEDE financé par le FEM relatif à la biodiversité et mis en œuvre par le PNUD (période de mise en œuvre : 2008-2016) ; les autres pays visés par le projet sont la Gambie, le Sénégal et le Mali. PROGEDE a pour but de développer et de mettre en œuvre des modèles de conservation et gestion, par la communauté, d'habitats critiques pour des espèces de bétail ruminant endémiques spécifiques (vaches, moutons et chèvres) et de proposer des stratégies de préservation d'ensembles uniques trait génétique/habitat d'une grande importance au niveau mondial.</w:t>
      </w:r>
    </w:p>
    <w:p w:rsidR="00AC6934" w:rsidRPr="001F1343" w:rsidRDefault="00AC6934" w:rsidP="000C4537">
      <w:pPr>
        <w:pStyle w:val="Paragraphedeliste"/>
        <w:numPr>
          <w:ilvl w:val="0"/>
          <w:numId w:val="21"/>
        </w:numPr>
        <w:tabs>
          <w:tab w:val="center" w:pos="810"/>
          <w:tab w:val="right" w:pos="8640"/>
        </w:tabs>
        <w:spacing w:after="200"/>
        <w:ind w:right="-698"/>
        <w:rPr>
          <w:rFonts w:ascii="Times New Roman" w:hAnsi="Times New Roman"/>
          <w:b/>
          <w:szCs w:val="22"/>
        </w:rPr>
      </w:pPr>
      <w:r>
        <w:rPr>
          <w:rFonts w:ascii="Times New Roman" w:hAnsi="Times New Roman"/>
        </w:rPr>
        <w:t xml:space="preserve">Renforcement de la résilience et adaptation aux impacts négatifs du changement climatique dans les zones côtières vulnérables de la Guinée : Ce projet d'un montant de 4 355 000 $ est cofinancé par le FEM, le PNUD et le gouvernement guinéen. Sa mise en œuvre a débuté en 2009 et devrait prendre fin cette année. Il a pour objectif de renforcer la protection des groupes/communautés vulnérables vivant sur </w:t>
      </w:r>
      <w:r w:rsidR="007562CF">
        <w:rPr>
          <w:rFonts w:ascii="Times New Roman" w:hAnsi="Times New Roman"/>
        </w:rPr>
        <w:t>les littorales victimes</w:t>
      </w:r>
      <w:r>
        <w:rPr>
          <w:rFonts w:ascii="Times New Roman" w:hAnsi="Times New Roman"/>
        </w:rPr>
        <w:t xml:space="preserve"> des effets négatifs du changement climatique. Les activités sont axées sur les zones revêtant une importance particulière dans une optique de production agricole (principalement la culture du riz) et, par conséquent, ont trait à la sécurité alimentaire. </w:t>
      </w:r>
    </w:p>
    <w:p w:rsidR="00AC6934" w:rsidRPr="001F1343" w:rsidRDefault="00AC6934" w:rsidP="000C4537">
      <w:pPr>
        <w:pStyle w:val="Paragraphedeliste"/>
        <w:numPr>
          <w:ilvl w:val="0"/>
          <w:numId w:val="21"/>
        </w:numPr>
        <w:tabs>
          <w:tab w:val="left" w:pos="360"/>
          <w:tab w:val="center" w:pos="810"/>
          <w:tab w:val="right" w:pos="8640"/>
        </w:tabs>
        <w:spacing w:after="200"/>
        <w:ind w:right="-698"/>
        <w:rPr>
          <w:rFonts w:ascii="Times New Roman" w:hAnsi="Times New Roman"/>
          <w:szCs w:val="22"/>
        </w:rPr>
      </w:pPr>
      <w:r>
        <w:rPr>
          <w:rFonts w:ascii="Times New Roman" w:hAnsi="Times New Roman"/>
        </w:rPr>
        <w:t>Renforcement de la résilience des moyens d’existence face au changement climatique des communautés paysannes des préfectures de Gaoual, Koundara et Mali : L'objectif de ce projet, toujours en cours de formulation, est de renforcer les capacités des communautés vivant au Nord de la Guinée afin d'intégrer la question du changement climatique à leurs politiques, plans d'investissement, budgets sectoriels et stratégies de développement. Il introduira également des mesures de pilotage afin de renforcer la résilience des moyens de subsistance face au changement climatique. Doté d'un budget de 4 016 364 $, ce projet sera financé par le FEM, le PNUD et le gouvernement guinéen sur la période comprise entre 2014 et 2018.</w:t>
      </w:r>
    </w:p>
    <w:p w:rsidR="00AC6934" w:rsidRPr="001F1343" w:rsidRDefault="00AC6934" w:rsidP="000C4537">
      <w:pPr>
        <w:pStyle w:val="Paragraphedeliste"/>
        <w:numPr>
          <w:ilvl w:val="0"/>
          <w:numId w:val="21"/>
        </w:numPr>
        <w:spacing w:after="0"/>
        <w:ind w:right="-698"/>
        <w:contextualSpacing/>
        <w:rPr>
          <w:rFonts w:ascii="Times New Roman" w:hAnsi="Times New Roman"/>
          <w:szCs w:val="22"/>
        </w:rPr>
      </w:pPr>
      <w:r>
        <w:rPr>
          <w:rFonts w:ascii="Times New Roman" w:hAnsi="Times New Roman"/>
        </w:rPr>
        <w:t xml:space="preserve">Projet de gestion intégrée des écosystèmes (PGIE) et Projet de gestion intégrée des ressources naturelles du littoral et de la biodiversité (PGIRN) : Ces deux projets sont financés par le FEM respectivement à hauteur de 4,5 millions d’USD et 7 millions d’USD, et sont pleinement intégrés au Programme d'appui aux communautés villageoises (PACV - voir ci-dessous). Les fonds levés pour ces 2 projets seront utilisés afin de mettre en œuvre des activités relatives à la gestion durable des ressources naturelles, à l'aide d'une approche spatiale, soit micro, soit fondée sur les bassins versants, qui </w:t>
      </w:r>
      <w:r w:rsidR="007562CF">
        <w:rPr>
          <w:rFonts w:ascii="Times New Roman" w:hAnsi="Times New Roman"/>
        </w:rPr>
        <w:t>seront</w:t>
      </w:r>
      <w:r>
        <w:rPr>
          <w:rFonts w:ascii="Times New Roman" w:hAnsi="Times New Roman"/>
        </w:rPr>
        <w:t xml:space="preserve"> liée à l'interaction entre les activités humaines et la producti</w:t>
      </w:r>
      <w:r w:rsidR="002445FC">
        <w:rPr>
          <w:rFonts w:ascii="Times New Roman" w:hAnsi="Times New Roman"/>
        </w:rPr>
        <w:t>vité des ressources naturelles.</w:t>
      </w:r>
    </w:p>
    <w:p w:rsidR="00AC6934" w:rsidRPr="001F1343" w:rsidRDefault="00AC6934" w:rsidP="00AC6934">
      <w:pPr>
        <w:spacing w:after="0"/>
        <w:ind w:left="90" w:right="-698" w:firstLine="270"/>
        <w:contextualSpacing/>
        <w:rPr>
          <w:rFonts w:ascii="Times New Roman" w:hAnsi="Times New Roman"/>
          <w:szCs w:val="22"/>
        </w:rPr>
      </w:pPr>
    </w:p>
    <w:p w:rsidR="00AC6934" w:rsidRPr="001F1343" w:rsidRDefault="00AC6934" w:rsidP="000C4537">
      <w:pPr>
        <w:pStyle w:val="Paragraphedeliste"/>
        <w:numPr>
          <w:ilvl w:val="0"/>
          <w:numId w:val="21"/>
        </w:numPr>
        <w:spacing w:after="0"/>
        <w:ind w:right="-698"/>
        <w:contextualSpacing/>
        <w:rPr>
          <w:rFonts w:ascii="Times New Roman" w:hAnsi="Times New Roman"/>
          <w:szCs w:val="22"/>
        </w:rPr>
      </w:pPr>
      <w:r>
        <w:rPr>
          <w:rFonts w:ascii="Times New Roman" w:hAnsi="Times New Roman"/>
        </w:rPr>
        <w:t>Le Projet de gestion intégrée des ressources naturelles du Massif du Fouta Djallon, financé par l'Union africaine, le FEM, la FAO et le PNUE (5 millions d’USD), est un projet régional qui vise la Gambie, la Guinée, la Guinée-Bissau, le Mali, la Mauritanie, le Niger, le Sénégal et la Sierra Leone. Les objectifs du projet sont les suivants : (i) veiller à une gestion durable des ressources naturelles à moyen et long terme afin de contribuer à de meilleures conditions de vie de la population dépendant directement ou indirectement des hauts-plateaux du Fouta Djallon, également connu sous le nom de Château d'eau de l'Afrique de l'Ouest et (ii) atténuer la cause et l'incidence de la dégradation des sols sur l'intégrité structurelle et fonctionnelle des hauts-plateaux. La première phase de quatre ans a débuté en juillet 2009 et s'est prolongée jusqu'en décembre 2014. Une seconde phase de six ans en est actuellement au stade de planification.</w:t>
      </w:r>
    </w:p>
    <w:p w:rsidR="00AC6934" w:rsidRPr="001F1343" w:rsidRDefault="00AC6934" w:rsidP="00AC6934">
      <w:pPr>
        <w:tabs>
          <w:tab w:val="center" w:pos="4320"/>
          <w:tab w:val="right" w:pos="8640"/>
        </w:tabs>
        <w:spacing w:after="200"/>
        <w:ind w:left="90" w:right="-698" w:firstLine="270"/>
        <w:rPr>
          <w:rFonts w:ascii="Times New Roman" w:hAnsi="Times New Roman"/>
          <w:szCs w:val="22"/>
        </w:rPr>
      </w:pPr>
    </w:p>
    <w:p w:rsidR="00AC6934" w:rsidRPr="001F1343" w:rsidRDefault="00AC6934" w:rsidP="00AC6934">
      <w:pPr>
        <w:tabs>
          <w:tab w:val="center" w:pos="4320"/>
          <w:tab w:val="right" w:pos="8640"/>
        </w:tabs>
        <w:spacing w:after="200"/>
        <w:ind w:left="-450" w:right="-698"/>
        <w:rPr>
          <w:rFonts w:ascii="Times New Roman" w:hAnsi="Times New Roman"/>
          <w:szCs w:val="22"/>
        </w:rPr>
      </w:pPr>
      <w:r>
        <w:rPr>
          <w:rFonts w:ascii="Times New Roman" w:hAnsi="Times New Roman"/>
        </w:rPr>
        <w:t>Lors de la mise en œuvre du projet proposé, le PNUD veillera à ce que les différents partenaires du projet se réunissent régulièrement afin d’échanger des informations relatives à l'avancée des activités du projet et afin d'éviter toute duplication des activités. Ces réunions pourront être organisées conjointement aux réunions du Conseil d'administration du projet.</w:t>
      </w:r>
    </w:p>
    <w:p w:rsidR="00AC6934" w:rsidRPr="001F1343" w:rsidRDefault="00AC6934" w:rsidP="00AC6934">
      <w:pPr>
        <w:pStyle w:val="Titre2"/>
        <w:ind w:hanging="1170"/>
        <w:rPr>
          <w:i w:val="0"/>
        </w:rPr>
      </w:pPr>
      <w:bookmarkStart w:id="53" w:name="_Toc418144251"/>
      <w:bookmarkStart w:id="54" w:name="_Toc298586300"/>
      <w:r>
        <w:rPr>
          <w:i w:val="0"/>
        </w:rPr>
        <w:lastRenderedPageBreak/>
        <w:t>Autres initiatives ne relevant pas du FEM</w:t>
      </w:r>
      <w:bookmarkEnd w:id="52"/>
      <w:bookmarkEnd w:id="53"/>
      <w:bookmarkEnd w:id="54"/>
    </w:p>
    <w:p w:rsidR="00AC6934" w:rsidRPr="001F1343" w:rsidRDefault="00AC6934" w:rsidP="00AC6934">
      <w:pPr>
        <w:spacing w:after="0"/>
        <w:ind w:right="26"/>
        <w:rPr>
          <w:rFonts w:ascii="Times New Roman" w:hAnsi="Times New Roman"/>
          <w:szCs w:val="22"/>
        </w:rPr>
      </w:pPr>
    </w:p>
    <w:p w:rsidR="00AC6934" w:rsidRPr="001F1343" w:rsidRDefault="00AC6934" w:rsidP="000C4537">
      <w:pPr>
        <w:pStyle w:val="Paragraphedeliste"/>
        <w:numPr>
          <w:ilvl w:val="0"/>
          <w:numId w:val="22"/>
        </w:numPr>
        <w:spacing w:after="0"/>
        <w:ind w:right="-698"/>
        <w:rPr>
          <w:rFonts w:ascii="Times New Roman" w:hAnsi="Times New Roman"/>
          <w:szCs w:val="22"/>
        </w:rPr>
      </w:pPr>
      <w:r>
        <w:rPr>
          <w:rFonts w:ascii="Times New Roman" w:hAnsi="Times New Roman"/>
        </w:rPr>
        <w:t xml:space="preserve">Programme d'appui aux communautés villageoises (PACV) : Dans le cadre de la lutte contre la pauvreté, principalement en milieu rural, et avec le soutien de plusieurs partenaires de développement (Banque mondiale, FIDA, AFD, etc.), le programme d'un montant de 39,7 millions d’USD met en place une stratégie pour un développement décentralisé et participatif. Le principal objectif consiste à renforcer la prise de décision au niveau local dans les 303 communautés rurales de développement du pays. Les activités menées en vertu de ce programme ont commencé en 2000 avec la phase d'initiation, à laquelle a succédé la phase d'expansion en 2012, phase qui sera suivie </w:t>
      </w:r>
      <w:r w:rsidR="00E726E9">
        <w:rPr>
          <w:rFonts w:ascii="Times New Roman" w:hAnsi="Times New Roman"/>
        </w:rPr>
        <w:t>par une phase de consolidation.</w:t>
      </w:r>
    </w:p>
    <w:p w:rsidR="00AC6934" w:rsidRPr="001F1343" w:rsidRDefault="00AC6934" w:rsidP="00AC6934">
      <w:pPr>
        <w:pStyle w:val="Paragraphedeliste"/>
        <w:spacing w:after="0"/>
        <w:ind w:right="-698"/>
        <w:rPr>
          <w:rFonts w:ascii="Times New Roman" w:hAnsi="Times New Roman"/>
          <w:szCs w:val="22"/>
        </w:rPr>
      </w:pPr>
    </w:p>
    <w:p w:rsidR="00AC6934" w:rsidRPr="001F1343" w:rsidRDefault="00AC6934" w:rsidP="000C4537">
      <w:pPr>
        <w:pStyle w:val="Paragraphedeliste"/>
        <w:numPr>
          <w:ilvl w:val="0"/>
          <w:numId w:val="22"/>
        </w:numPr>
        <w:spacing w:after="0"/>
        <w:ind w:right="-698"/>
        <w:rPr>
          <w:rFonts w:ascii="Times New Roman" w:hAnsi="Times New Roman"/>
          <w:szCs w:val="22"/>
        </w:rPr>
      </w:pPr>
      <w:r>
        <w:rPr>
          <w:rFonts w:ascii="Times New Roman" w:hAnsi="Times New Roman"/>
        </w:rPr>
        <w:t>Programme national d’appui aux acteurs des filières agricoles (PNAAFA) : Le PNAAFA a débuté ses activités en mai 2011 et vise à appuyer les activités agricoles en Guinée Forestière et Moyenne Guinée avec un soutien de 22 millions d’USD du FIDA, qui comprend un prêt de 13,3 millions d’USD, les 8,7 millions d’USD restants correspondant à une subvention. Une autre subvention de 9,1 millions d’USD a été accordée par le FIDA en 2012 afin d’élargir les activités à la Haute Guinée.</w:t>
      </w:r>
    </w:p>
    <w:p w:rsidR="00AC6934" w:rsidRPr="001F1343" w:rsidRDefault="00AC6934" w:rsidP="00AC6934">
      <w:pPr>
        <w:pStyle w:val="Paragraphedeliste"/>
        <w:rPr>
          <w:rFonts w:ascii="Times New Roman" w:hAnsi="Times New Roman"/>
          <w:szCs w:val="22"/>
        </w:rPr>
      </w:pPr>
    </w:p>
    <w:p w:rsidR="00AC6934" w:rsidRPr="001F1343" w:rsidRDefault="00AC6934" w:rsidP="000C4537">
      <w:pPr>
        <w:pStyle w:val="Paragraphedeliste"/>
        <w:numPr>
          <w:ilvl w:val="0"/>
          <w:numId w:val="22"/>
        </w:numPr>
        <w:spacing w:after="0"/>
        <w:ind w:right="-698"/>
        <w:rPr>
          <w:rFonts w:ascii="Times New Roman" w:hAnsi="Times New Roman"/>
          <w:szCs w:val="22"/>
        </w:rPr>
      </w:pPr>
      <w:r>
        <w:rPr>
          <w:rFonts w:ascii="Times New Roman" w:hAnsi="Times New Roman"/>
        </w:rPr>
        <w:t>Le fonds de l'OPEP pour le développement international apportera une contribution supplémentaire de l'ordre de 10 millions d’USD afin de procéder à des études et de développer des infrastructures rurales. Ce financement permettra aussi d'étendre le PNAAFA à la Basse Guinée dès cette année.</w:t>
      </w:r>
    </w:p>
    <w:p w:rsidR="00AC6934" w:rsidRPr="001F1343" w:rsidRDefault="00AC6934" w:rsidP="00AC6934">
      <w:pPr>
        <w:pStyle w:val="Paragraphedeliste"/>
        <w:rPr>
          <w:rFonts w:ascii="Times New Roman" w:hAnsi="Times New Roman"/>
          <w:szCs w:val="22"/>
        </w:rPr>
      </w:pPr>
    </w:p>
    <w:p w:rsidR="00AC6934" w:rsidRPr="001F1343" w:rsidRDefault="00AC6934" w:rsidP="000C4537">
      <w:pPr>
        <w:pStyle w:val="Paragraphedeliste"/>
        <w:numPr>
          <w:ilvl w:val="0"/>
          <w:numId w:val="22"/>
        </w:numPr>
        <w:spacing w:after="0"/>
        <w:ind w:right="-698"/>
        <w:rPr>
          <w:rFonts w:ascii="Times New Roman" w:hAnsi="Times New Roman"/>
          <w:szCs w:val="22"/>
        </w:rPr>
      </w:pPr>
      <w:r>
        <w:rPr>
          <w:rFonts w:ascii="Times New Roman" w:hAnsi="Times New Roman"/>
        </w:rPr>
        <w:t>Projet STEWARD : Cette activité de conservation forestière et de subsistance durable, cofinancée par l'USAID et le Service des forêts des États-Unis, a comme objectif stratégique la mise en œuvre d'un programme régional cohérent englobant des questions transfrontalières liées à la biodiversité. Ce programme s'appuiera sur les enseignements tirés d'une perspective régionale, diffusera les meilleures pratiques et harmonisera les politiques, en gardant à l'esprit les effets négatifs du changement climatique en ce qui concerne les domaines prioritaires de l'écosystème de la Haute Guinée. D'un montant de 18 millions d’USD, il a commencé ses activités en octobre 2007 et en est actuellement à sa phase de mise en œuvre ; il devrait prendre fin en 2015.</w:t>
      </w:r>
    </w:p>
    <w:p w:rsidR="00AC6934" w:rsidRPr="001F1343" w:rsidRDefault="00AC6934" w:rsidP="00AC6934">
      <w:pPr>
        <w:pStyle w:val="Paragraphedeliste"/>
        <w:spacing w:after="0"/>
        <w:ind w:left="180" w:right="-698"/>
        <w:rPr>
          <w:rFonts w:ascii="Times New Roman" w:hAnsi="Times New Roman"/>
          <w:szCs w:val="22"/>
        </w:rPr>
      </w:pPr>
    </w:p>
    <w:p w:rsidR="00AC6934" w:rsidRDefault="00AC6934" w:rsidP="00AC6934">
      <w:pPr>
        <w:spacing w:after="0"/>
        <w:ind w:right="-540"/>
        <w:sectPr w:rsidR="00AC6934" w:rsidSect="000F2094">
          <w:footerReference w:type="default" r:id="rId19"/>
          <w:pgSz w:w="12240" w:h="15840" w:code="1"/>
          <w:pgMar w:top="1440" w:right="1440" w:bottom="1440" w:left="1411" w:header="706" w:footer="706" w:gutter="0"/>
          <w:cols w:space="708"/>
          <w:docGrid w:linePitch="360"/>
        </w:sectPr>
      </w:pPr>
    </w:p>
    <w:p w:rsidR="00205323" w:rsidRPr="001F1343" w:rsidRDefault="00205323" w:rsidP="00E4206C">
      <w:pPr>
        <w:pStyle w:val="Titre1"/>
        <w:rPr>
          <w:b w:val="0"/>
          <w:smallCaps w:val="0"/>
          <w:szCs w:val="22"/>
          <w:lang w:val="en-GB"/>
        </w:rPr>
      </w:pPr>
      <w:bookmarkStart w:id="55" w:name="_Toc285354093"/>
      <w:bookmarkStart w:id="56" w:name="_Toc340830982"/>
      <w:bookmarkStart w:id="57" w:name="_Toc262924495"/>
      <w:bookmarkStart w:id="58" w:name="_Toc418144252"/>
      <w:bookmarkStart w:id="59" w:name="_Toc298586301"/>
      <w:bookmarkStart w:id="60" w:name="_Toc207800912"/>
      <w:r>
        <w:rPr>
          <w:rFonts w:cs="Times New Roman Bold"/>
          <w:bCs/>
          <w:szCs w:val="22"/>
        </w:rPr>
        <w:lastRenderedPageBreak/>
        <w:t>3. Cadre des résultats du projet</w:t>
      </w:r>
      <w:bookmarkEnd w:id="55"/>
      <w:bookmarkEnd w:id="56"/>
      <w:bookmarkEnd w:id="57"/>
      <w:bookmarkEnd w:id="58"/>
      <w:bookmarkEnd w:id="59"/>
      <w:r>
        <w:rPr>
          <w:rFonts w:cs="Times New Roman Bold"/>
          <w:bCs/>
          <w:szCs w:val="22"/>
        </w:rPr>
        <w:t xml:space="preserve"> </w:t>
      </w:r>
      <w:bookmarkStart w:id="61" w:name="_Toc207800913"/>
      <w:bookmarkEnd w:id="60"/>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2419"/>
        <w:gridCol w:w="2077"/>
        <w:gridCol w:w="2747"/>
        <w:gridCol w:w="2178"/>
        <w:gridCol w:w="2501"/>
      </w:tblGrid>
      <w:tr w:rsidR="00205323" w:rsidRPr="00174C5D" w:rsidTr="00205323">
        <w:trPr>
          <w:jc w:val="center"/>
        </w:trPr>
        <w:tc>
          <w:tcPr>
            <w:tcW w:w="14796" w:type="dxa"/>
            <w:gridSpan w:val="6"/>
          </w:tcPr>
          <w:p w:rsidR="00205323" w:rsidRPr="00865A23" w:rsidRDefault="00205323" w:rsidP="00205323">
            <w:pPr>
              <w:tabs>
                <w:tab w:val="left" w:pos="355"/>
              </w:tabs>
              <w:autoSpaceDE w:val="0"/>
              <w:autoSpaceDN w:val="0"/>
              <w:adjustRightInd w:val="0"/>
              <w:spacing w:line="274" w:lineRule="exact"/>
              <w:rPr>
                <w:rFonts w:ascii="Times New Roman" w:hAnsi="Times New Roman"/>
                <w:b/>
                <w:color w:val="000000"/>
                <w:szCs w:val="22"/>
              </w:rPr>
            </w:pPr>
            <w:r w:rsidRPr="00174C5D">
              <w:rPr>
                <w:rFonts w:ascii="Times New Roman" w:hAnsi="Times New Roman"/>
                <w:b/>
                <w:bCs/>
                <w:color w:val="000000"/>
                <w:szCs w:val="22"/>
              </w:rPr>
              <w:t xml:space="preserve">Ce projet contribuera à la création des produits suivante du Programme Pays, tels que définis dans le CPAD (Plan d'action de programme pays) ou le CPD (Document de programme pays) : </w:t>
            </w:r>
          </w:p>
          <w:p w:rsidR="00205323" w:rsidRPr="00865A23" w:rsidRDefault="00205323" w:rsidP="00205323">
            <w:pPr>
              <w:tabs>
                <w:tab w:val="left" w:pos="355"/>
              </w:tabs>
              <w:autoSpaceDE w:val="0"/>
              <w:autoSpaceDN w:val="0"/>
              <w:adjustRightInd w:val="0"/>
              <w:spacing w:line="274" w:lineRule="exact"/>
              <w:rPr>
                <w:rFonts w:ascii="Times New Roman" w:hAnsi="Times New Roman"/>
                <w:b/>
                <w:color w:val="000000"/>
                <w:szCs w:val="22"/>
              </w:rPr>
            </w:pPr>
            <w:r w:rsidRPr="00174C5D">
              <w:rPr>
                <w:rFonts w:ascii="Times New Roman" w:hAnsi="Times New Roman"/>
                <w:b/>
                <w:bCs/>
                <w:color w:val="000000"/>
                <w:szCs w:val="22"/>
              </w:rPr>
              <w:t xml:space="preserve">Produits : </w:t>
            </w:r>
            <w:r w:rsidRPr="00174C5D">
              <w:rPr>
                <w:rFonts w:ascii="Times New Roman" w:hAnsi="Times New Roman"/>
                <w:color w:val="000000"/>
                <w:szCs w:val="22"/>
              </w:rPr>
              <w:t>(i) Une Politique nationale afin d'assurer une protection et une gestion durable de l'environnement est rédigée, adoptée et mise en œuvre ; (ii) Les meilleures pratiques ainsi que les technologies adéquates sont adoptées puis font l'objet d'une diffusion ; et (iii) les Plans de développement de zones de mangroves sont rendus opérationnels.</w:t>
            </w:r>
          </w:p>
        </w:tc>
      </w:tr>
      <w:tr w:rsidR="00205323" w:rsidRPr="00174C5D" w:rsidTr="00205323">
        <w:trPr>
          <w:jc w:val="center"/>
        </w:trPr>
        <w:tc>
          <w:tcPr>
            <w:tcW w:w="14796" w:type="dxa"/>
            <w:gridSpan w:val="6"/>
          </w:tcPr>
          <w:p w:rsidR="00205323" w:rsidRPr="00865A23" w:rsidRDefault="00205323" w:rsidP="00205323">
            <w:pPr>
              <w:tabs>
                <w:tab w:val="left" w:pos="355"/>
              </w:tabs>
              <w:autoSpaceDE w:val="0"/>
              <w:autoSpaceDN w:val="0"/>
              <w:adjustRightInd w:val="0"/>
              <w:spacing w:line="274" w:lineRule="exact"/>
              <w:rPr>
                <w:rFonts w:ascii="Times New Roman" w:hAnsi="Times New Roman"/>
                <w:b/>
                <w:color w:val="000000"/>
                <w:szCs w:val="22"/>
              </w:rPr>
            </w:pPr>
            <w:r w:rsidRPr="00174C5D">
              <w:rPr>
                <w:rFonts w:ascii="Times New Roman" w:hAnsi="Times New Roman"/>
                <w:b/>
                <w:bCs/>
                <w:color w:val="000000"/>
                <w:szCs w:val="22"/>
              </w:rPr>
              <w:t xml:space="preserve">Résultat(s) UNDAF : </w:t>
            </w:r>
            <w:r w:rsidRPr="00174C5D">
              <w:rPr>
                <w:rFonts w:ascii="Times New Roman" w:hAnsi="Times New Roman"/>
                <w:color w:val="000000"/>
                <w:szCs w:val="22"/>
              </w:rPr>
              <w:t>Protection de l'environnement et gestion durable des ressources naturelles.</w:t>
            </w:r>
          </w:p>
        </w:tc>
      </w:tr>
      <w:tr w:rsidR="00205323" w:rsidRPr="00174C5D" w:rsidTr="00205323">
        <w:trPr>
          <w:jc w:val="center"/>
        </w:trPr>
        <w:tc>
          <w:tcPr>
            <w:tcW w:w="14796" w:type="dxa"/>
            <w:gridSpan w:val="6"/>
          </w:tcPr>
          <w:p w:rsidR="00205323" w:rsidRPr="00865A23" w:rsidRDefault="00205323" w:rsidP="00205323">
            <w:pPr>
              <w:tabs>
                <w:tab w:val="left" w:pos="355"/>
              </w:tabs>
              <w:autoSpaceDE w:val="0"/>
              <w:autoSpaceDN w:val="0"/>
              <w:adjustRightInd w:val="0"/>
              <w:spacing w:line="274" w:lineRule="exact"/>
              <w:rPr>
                <w:rFonts w:ascii="Times New Roman" w:hAnsi="Times New Roman"/>
                <w:b/>
                <w:color w:val="000000"/>
                <w:szCs w:val="22"/>
              </w:rPr>
            </w:pPr>
            <w:r w:rsidRPr="00174C5D">
              <w:rPr>
                <w:rFonts w:ascii="Times New Roman" w:hAnsi="Times New Roman"/>
                <w:b/>
                <w:bCs/>
                <w:color w:val="000000"/>
                <w:szCs w:val="22"/>
              </w:rPr>
              <w:t xml:space="preserve">Indicateurs de résultats du Programme Pays : </w:t>
            </w:r>
          </w:p>
          <w:p w:rsidR="00205323" w:rsidRPr="00865A23" w:rsidRDefault="00205323" w:rsidP="00205323">
            <w:pPr>
              <w:tabs>
                <w:tab w:val="left" w:pos="355"/>
              </w:tabs>
              <w:autoSpaceDE w:val="0"/>
              <w:autoSpaceDN w:val="0"/>
              <w:adjustRightInd w:val="0"/>
              <w:spacing w:line="274" w:lineRule="exact"/>
              <w:rPr>
                <w:rFonts w:ascii="Times New Roman" w:hAnsi="Times New Roman"/>
                <w:b/>
                <w:color w:val="000000"/>
                <w:szCs w:val="22"/>
              </w:rPr>
            </w:pPr>
            <w:r w:rsidRPr="00174C5D">
              <w:rPr>
                <w:rFonts w:ascii="Times New Roman" w:hAnsi="Times New Roman"/>
                <w:b/>
                <w:bCs/>
                <w:color w:val="000000"/>
                <w:szCs w:val="22"/>
              </w:rPr>
              <w:t xml:space="preserve">Indicateur : </w:t>
            </w:r>
            <w:r w:rsidRPr="00174C5D">
              <w:rPr>
                <w:rFonts w:ascii="Times New Roman" w:hAnsi="Times New Roman"/>
                <w:color w:val="000000"/>
                <w:szCs w:val="22"/>
              </w:rPr>
              <w:t>Nombre de digesteurs de biogaz domestiques, institutionnels, commerciaux et industriels ayant été installés.</w:t>
            </w:r>
          </w:p>
        </w:tc>
      </w:tr>
      <w:tr w:rsidR="00205323" w:rsidRPr="00174C5D" w:rsidTr="00205323">
        <w:trPr>
          <w:trHeight w:val="530"/>
          <w:jc w:val="center"/>
        </w:trPr>
        <w:tc>
          <w:tcPr>
            <w:tcW w:w="14796" w:type="dxa"/>
            <w:gridSpan w:val="6"/>
          </w:tcPr>
          <w:p w:rsidR="00205323" w:rsidRPr="00865A23" w:rsidRDefault="00205323" w:rsidP="00205323">
            <w:pPr>
              <w:tabs>
                <w:tab w:val="left" w:pos="355"/>
              </w:tabs>
              <w:autoSpaceDE w:val="0"/>
              <w:autoSpaceDN w:val="0"/>
              <w:adjustRightInd w:val="0"/>
              <w:spacing w:line="274" w:lineRule="exact"/>
              <w:rPr>
                <w:rFonts w:ascii="Times New Roman" w:hAnsi="Times New Roman"/>
                <w:b/>
                <w:color w:val="000000"/>
                <w:szCs w:val="22"/>
              </w:rPr>
            </w:pPr>
            <w:r w:rsidRPr="00174C5D">
              <w:rPr>
                <w:rFonts w:ascii="Times New Roman" w:hAnsi="Times New Roman"/>
                <w:b/>
                <w:bCs/>
                <w:szCs w:val="22"/>
              </w:rPr>
              <w:t xml:space="preserve">Programme et objectif stratégique du FEM applicables : </w:t>
            </w:r>
            <w:r w:rsidRPr="00174C5D">
              <w:rPr>
                <w:rFonts w:ascii="Times New Roman" w:hAnsi="Times New Roman"/>
                <w:szCs w:val="22"/>
              </w:rPr>
              <w:t>Promotion des investissements en matière de technologies d'énergie renouvelable.</w:t>
            </w:r>
          </w:p>
        </w:tc>
      </w:tr>
      <w:tr w:rsidR="00205323" w:rsidRPr="00174C5D" w:rsidTr="00205323">
        <w:trPr>
          <w:trHeight w:val="557"/>
          <w:jc w:val="center"/>
        </w:trPr>
        <w:tc>
          <w:tcPr>
            <w:tcW w:w="14796" w:type="dxa"/>
            <w:gridSpan w:val="6"/>
          </w:tcPr>
          <w:p w:rsidR="00205323" w:rsidRPr="004F2CBA" w:rsidRDefault="00205323" w:rsidP="00205323">
            <w:pPr>
              <w:tabs>
                <w:tab w:val="left" w:pos="355"/>
              </w:tabs>
              <w:autoSpaceDE w:val="0"/>
              <w:autoSpaceDN w:val="0"/>
              <w:adjustRightInd w:val="0"/>
              <w:spacing w:line="274" w:lineRule="exact"/>
              <w:rPr>
                <w:rFonts w:ascii="Times New Roman" w:hAnsi="Times New Roman"/>
                <w:szCs w:val="22"/>
              </w:rPr>
            </w:pPr>
            <w:r w:rsidRPr="00174C5D">
              <w:rPr>
                <w:rFonts w:ascii="Times New Roman" w:hAnsi="Times New Roman"/>
                <w:b/>
                <w:bCs/>
                <w:szCs w:val="22"/>
              </w:rPr>
              <w:t xml:space="preserve">Résultats attendus du FEM applicables : </w:t>
            </w:r>
            <w:r w:rsidRPr="00174C5D">
              <w:rPr>
                <w:rFonts w:ascii="Times New Roman" w:hAnsi="Times New Roman"/>
                <w:szCs w:val="22"/>
              </w:rPr>
              <w:t>Total des émissions GES (gaz à effet de serre) « évitées » grâce à la technologie de biogaz au lieu de la biomasse tirée des ressources forestières.</w:t>
            </w:r>
          </w:p>
        </w:tc>
      </w:tr>
      <w:tr w:rsidR="00205323" w:rsidRPr="00174C5D" w:rsidTr="00205323">
        <w:trPr>
          <w:trHeight w:val="557"/>
          <w:jc w:val="center"/>
        </w:trPr>
        <w:tc>
          <w:tcPr>
            <w:tcW w:w="14796" w:type="dxa"/>
            <w:gridSpan w:val="6"/>
          </w:tcPr>
          <w:p w:rsidR="00205323" w:rsidRPr="004F2CBA" w:rsidRDefault="00205323" w:rsidP="00205323">
            <w:pPr>
              <w:tabs>
                <w:tab w:val="left" w:pos="355"/>
              </w:tabs>
              <w:autoSpaceDE w:val="0"/>
              <w:autoSpaceDN w:val="0"/>
              <w:adjustRightInd w:val="0"/>
              <w:spacing w:line="274" w:lineRule="exact"/>
              <w:rPr>
                <w:rFonts w:ascii="Times New Roman" w:hAnsi="Times New Roman"/>
                <w:b/>
                <w:szCs w:val="22"/>
              </w:rPr>
            </w:pPr>
            <w:r w:rsidRPr="00174C5D">
              <w:rPr>
                <w:rFonts w:ascii="Times New Roman" w:hAnsi="Times New Roman"/>
                <w:b/>
                <w:bCs/>
                <w:szCs w:val="22"/>
              </w:rPr>
              <w:t xml:space="preserve">Indicateurs de résultats FEM applicables : </w:t>
            </w:r>
            <w:r w:rsidRPr="00174C5D">
              <w:rPr>
                <w:rFonts w:ascii="Times New Roman" w:hAnsi="Times New Roman"/>
                <w:szCs w:val="22"/>
              </w:rPr>
              <w:t>Émissions GES évitées grâce à l'utilisation de la technologie de biogaz au lieu de la biomasse tirée des ressources forestières (tonnes de CO</w:t>
            </w:r>
            <w:r w:rsidRPr="00174C5D">
              <w:rPr>
                <w:rFonts w:ascii="Times New Roman" w:hAnsi="Times New Roman"/>
                <w:szCs w:val="22"/>
                <w:vertAlign w:val="subscript"/>
              </w:rPr>
              <w:t>2</w:t>
            </w:r>
            <w:r w:rsidRPr="00174C5D">
              <w:rPr>
                <w:rFonts w:ascii="Times New Roman" w:hAnsi="Times New Roman"/>
                <w:szCs w:val="22"/>
              </w:rPr>
              <w:t>) et $/t ($ par tonne) de CO</w:t>
            </w:r>
            <w:r w:rsidRPr="00174C5D">
              <w:rPr>
                <w:rFonts w:ascii="Times New Roman" w:hAnsi="Times New Roman"/>
                <w:szCs w:val="22"/>
                <w:vertAlign w:val="subscript"/>
              </w:rPr>
              <w:t>2</w:t>
            </w:r>
            <w:r w:rsidRPr="00174C5D">
              <w:rPr>
                <w:rFonts w:ascii="Times New Roman" w:hAnsi="Times New Roman"/>
                <w:szCs w:val="22"/>
              </w:rPr>
              <w:t xml:space="preserve">. </w:t>
            </w:r>
          </w:p>
        </w:tc>
      </w:tr>
      <w:tr w:rsidR="00205323" w:rsidRPr="00174C5D" w:rsidTr="00205323">
        <w:trPr>
          <w:trHeight w:val="352"/>
          <w:jc w:val="center"/>
        </w:trPr>
        <w:tc>
          <w:tcPr>
            <w:tcW w:w="2875" w:type="dxa"/>
            <w:shd w:val="clear" w:color="auto" w:fill="92CDDC"/>
          </w:tcPr>
          <w:p w:rsidR="00205323" w:rsidRPr="004F2CBA" w:rsidRDefault="00205323" w:rsidP="00205323">
            <w:pPr>
              <w:tabs>
                <w:tab w:val="left" w:pos="355"/>
              </w:tabs>
              <w:autoSpaceDE w:val="0"/>
              <w:autoSpaceDN w:val="0"/>
              <w:adjustRightInd w:val="0"/>
              <w:spacing w:line="274" w:lineRule="exact"/>
              <w:rPr>
                <w:rFonts w:ascii="Times New Roman" w:hAnsi="Times New Roman"/>
                <w:b/>
                <w:szCs w:val="22"/>
              </w:rPr>
            </w:pPr>
          </w:p>
        </w:tc>
        <w:tc>
          <w:tcPr>
            <w:tcW w:w="2421" w:type="dxa"/>
            <w:shd w:val="clear" w:color="auto" w:fill="92CDDC"/>
          </w:tcPr>
          <w:p w:rsidR="00205323" w:rsidRPr="00174C5D" w:rsidRDefault="00205323" w:rsidP="00205323">
            <w:pPr>
              <w:tabs>
                <w:tab w:val="left" w:pos="355"/>
              </w:tabs>
              <w:autoSpaceDE w:val="0"/>
              <w:autoSpaceDN w:val="0"/>
              <w:adjustRightInd w:val="0"/>
              <w:spacing w:line="274" w:lineRule="exact"/>
              <w:jc w:val="center"/>
              <w:rPr>
                <w:rFonts w:ascii="Times New Roman" w:hAnsi="Times New Roman"/>
                <w:b/>
                <w:szCs w:val="22"/>
                <w:lang w:val="en-GB"/>
              </w:rPr>
            </w:pPr>
            <w:r w:rsidRPr="00174C5D">
              <w:rPr>
                <w:rFonts w:ascii="Times New Roman" w:hAnsi="Times New Roman"/>
                <w:b/>
                <w:bCs/>
                <w:color w:val="000000"/>
                <w:szCs w:val="22"/>
              </w:rPr>
              <w:t>Indicateur</w:t>
            </w:r>
          </w:p>
        </w:tc>
        <w:tc>
          <w:tcPr>
            <w:tcW w:w="2070" w:type="dxa"/>
            <w:shd w:val="clear" w:color="auto" w:fill="92CDDC"/>
          </w:tcPr>
          <w:p w:rsidR="00205323" w:rsidRPr="00174C5D" w:rsidRDefault="00205323" w:rsidP="00205323">
            <w:pPr>
              <w:tabs>
                <w:tab w:val="left" w:pos="355"/>
              </w:tabs>
              <w:autoSpaceDE w:val="0"/>
              <w:autoSpaceDN w:val="0"/>
              <w:adjustRightInd w:val="0"/>
              <w:spacing w:line="274" w:lineRule="exact"/>
              <w:jc w:val="center"/>
              <w:rPr>
                <w:rFonts w:ascii="Times New Roman" w:hAnsi="Times New Roman"/>
                <w:b/>
                <w:szCs w:val="22"/>
                <w:lang w:val="en-GB"/>
              </w:rPr>
            </w:pPr>
            <w:r w:rsidRPr="00174C5D">
              <w:rPr>
                <w:rFonts w:ascii="Times New Roman" w:hAnsi="Times New Roman"/>
                <w:b/>
                <w:bCs/>
                <w:color w:val="000000"/>
                <w:szCs w:val="22"/>
              </w:rPr>
              <w:t xml:space="preserve">Situation de départ </w:t>
            </w:r>
          </w:p>
        </w:tc>
        <w:tc>
          <w:tcPr>
            <w:tcW w:w="2749" w:type="dxa"/>
            <w:shd w:val="clear" w:color="auto" w:fill="92CDDC"/>
          </w:tcPr>
          <w:p w:rsidR="00205323" w:rsidRPr="00174C5D" w:rsidRDefault="00205323" w:rsidP="00205323">
            <w:pPr>
              <w:tabs>
                <w:tab w:val="left" w:pos="355"/>
              </w:tabs>
              <w:autoSpaceDE w:val="0"/>
              <w:autoSpaceDN w:val="0"/>
              <w:adjustRightInd w:val="0"/>
              <w:spacing w:line="274" w:lineRule="exact"/>
              <w:jc w:val="center"/>
              <w:rPr>
                <w:rFonts w:ascii="Times New Roman" w:hAnsi="Times New Roman"/>
                <w:b/>
                <w:color w:val="000000"/>
                <w:szCs w:val="22"/>
                <w:lang w:val="en-GB"/>
              </w:rPr>
            </w:pPr>
            <w:r w:rsidRPr="00174C5D">
              <w:rPr>
                <w:rFonts w:ascii="Times New Roman" w:hAnsi="Times New Roman"/>
                <w:b/>
                <w:bCs/>
                <w:color w:val="000000"/>
                <w:szCs w:val="22"/>
              </w:rPr>
              <w:t xml:space="preserve">Cibles </w:t>
            </w:r>
          </w:p>
          <w:p w:rsidR="00205323" w:rsidRPr="00174C5D" w:rsidRDefault="00205323" w:rsidP="00205323">
            <w:pPr>
              <w:tabs>
                <w:tab w:val="left" w:pos="355"/>
              </w:tabs>
              <w:autoSpaceDE w:val="0"/>
              <w:autoSpaceDN w:val="0"/>
              <w:adjustRightInd w:val="0"/>
              <w:spacing w:line="274" w:lineRule="exact"/>
              <w:jc w:val="center"/>
              <w:rPr>
                <w:rFonts w:ascii="Times New Roman" w:hAnsi="Times New Roman"/>
                <w:b/>
                <w:szCs w:val="22"/>
                <w:lang w:val="en-GB"/>
              </w:rPr>
            </w:pPr>
            <w:r w:rsidRPr="00174C5D">
              <w:rPr>
                <w:rFonts w:ascii="Times New Roman" w:hAnsi="Times New Roman"/>
                <w:b/>
                <w:bCs/>
                <w:color w:val="000000"/>
                <w:szCs w:val="22"/>
              </w:rPr>
              <w:t>Fin du projet</w:t>
            </w:r>
          </w:p>
        </w:tc>
        <w:tc>
          <w:tcPr>
            <w:tcW w:w="2179" w:type="dxa"/>
            <w:shd w:val="clear" w:color="auto" w:fill="92CDDC"/>
          </w:tcPr>
          <w:p w:rsidR="00205323" w:rsidRPr="00174C5D" w:rsidRDefault="00205323" w:rsidP="00205323">
            <w:pPr>
              <w:tabs>
                <w:tab w:val="left" w:pos="355"/>
              </w:tabs>
              <w:autoSpaceDE w:val="0"/>
              <w:autoSpaceDN w:val="0"/>
              <w:adjustRightInd w:val="0"/>
              <w:spacing w:line="274" w:lineRule="exact"/>
              <w:jc w:val="center"/>
              <w:rPr>
                <w:rFonts w:ascii="Times New Roman" w:hAnsi="Times New Roman"/>
                <w:b/>
                <w:szCs w:val="22"/>
                <w:lang w:val="en-GB"/>
              </w:rPr>
            </w:pPr>
            <w:r w:rsidRPr="00174C5D">
              <w:rPr>
                <w:rFonts w:ascii="Times New Roman" w:hAnsi="Times New Roman"/>
                <w:b/>
                <w:bCs/>
                <w:color w:val="000000"/>
                <w:szCs w:val="22"/>
              </w:rPr>
              <w:t xml:space="preserve">Sources de vérification </w:t>
            </w:r>
          </w:p>
        </w:tc>
        <w:tc>
          <w:tcPr>
            <w:tcW w:w="2502" w:type="dxa"/>
            <w:shd w:val="clear" w:color="auto" w:fill="92CDDC"/>
          </w:tcPr>
          <w:p w:rsidR="00205323" w:rsidRPr="00174C5D" w:rsidRDefault="00205323" w:rsidP="00205323">
            <w:pPr>
              <w:tabs>
                <w:tab w:val="left" w:pos="355"/>
              </w:tabs>
              <w:autoSpaceDE w:val="0"/>
              <w:autoSpaceDN w:val="0"/>
              <w:adjustRightInd w:val="0"/>
              <w:spacing w:line="274" w:lineRule="exact"/>
              <w:jc w:val="center"/>
              <w:rPr>
                <w:rFonts w:ascii="Times New Roman" w:hAnsi="Times New Roman"/>
                <w:b/>
                <w:szCs w:val="22"/>
                <w:lang w:val="en-GB"/>
              </w:rPr>
            </w:pPr>
            <w:r w:rsidRPr="00174C5D">
              <w:rPr>
                <w:rFonts w:ascii="Times New Roman" w:hAnsi="Times New Roman"/>
                <w:b/>
                <w:bCs/>
                <w:color w:val="000000"/>
                <w:szCs w:val="22"/>
              </w:rPr>
              <w:t>Risques et hypothèses</w:t>
            </w:r>
          </w:p>
        </w:tc>
      </w:tr>
      <w:tr w:rsidR="00205323" w:rsidRPr="00174C5D" w:rsidTr="00205323">
        <w:trPr>
          <w:trHeight w:val="415"/>
          <w:jc w:val="center"/>
        </w:trPr>
        <w:tc>
          <w:tcPr>
            <w:tcW w:w="2875" w:type="dxa"/>
          </w:tcPr>
          <w:p w:rsidR="00205323" w:rsidRPr="00174C5D" w:rsidRDefault="00205323" w:rsidP="00205323">
            <w:pPr>
              <w:rPr>
                <w:rFonts w:ascii="Times New Roman" w:hAnsi="Times New Roman"/>
                <w:b/>
                <w:bCs/>
                <w:szCs w:val="22"/>
                <w:lang w:val="en-GB"/>
              </w:rPr>
            </w:pPr>
            <w:r w:rsidRPr="00174C5D">
              <w:rPr>
                <w:rFonts w:ascii="Times New Roman" w:hAnsi="Times New Roman"/>
                <w:b/>
                <w:bCs/>
                <w:szCs w:val="22"/>
              </w:rPr>
              <w:t>Objectif</w:t>
            </w:r>
          </w:p>
        </w:tc>
        <w:tc>
          <w:tcPr>
            <w:tcW w:w="2421" w:type="dxa"/>
          </w:tcPr>
          <w:p w:rsidR="00205323" w:rsidRPr="00174C5D" w:rsidRDefault="00205323" w:rsidP="00205323">
            <w:pPr>
              <w:tabs>
                <w:tab w:val="left" w:pos="355"/>
              </w:tabs>
              <w:autoSpaceDE w:val="0"/>
              <w:autoSpaceDN w:val="0"/>
              <w:adjustRightInd w:val="0"/>
              <w:rPr>
                <w:rFonts w:ascii="Times New Roman" w:hAnsi="Times New Roman"/>
                <w:szCs w:val="22"/>
                <w:lang w:val="en-GB"/>
              </w:rPr>
            </w:pPr>
          </w:p>
        </w:tc>
        <w:tc>
          <w:tcPr>
            <w:tcW w:w="2070" w:type="dxa"/>
          </w:tcPr>
          <w:p w:rsidR="00205323" w:rsidRPr="00174C5D" w:rsidRDefault="00205323" w:rsidP="00205323">
            <w:pPr>
              <w:tabs>
                <w:tab w:val="left" w:pos="355"/>
              </w:tabs>
              <w:autoSpaceDE w:val="0"/>
              <w:autoSpaceDN w:val="0"/>
              <w:adjustRightInd w:val="0"/>
              <w:rPr>
                <w:rFonts w:ascii="Times New Roman" w:hAnsi="Times New Roman"/>
                <w:color w:val="000000"/>
                <w:szCs w:val="22"/>
                <w:lang w:val="en-GB"/>
              </w:rPr>
            </w:pPr>
          </w:p>
        </w:tc>
        <w:tc>
          <w:tcPr>
            <w:tcW w:w="2749" w:type="dxa"/>
          </w:tcPr>
          <w:p w:rsidR="00205323" w:rsidRPr="00174C5D" w:rsidRDefault="00205323" w:rsidP="00205323">
            <w:pPr>
              <w:tabs>
                <w:tab w:val="left" w:pos="355"/>
              </w:tabs>
              <w:autoSpaceDE w:val="0"/>
              <w:autoSpaceDN w:val="0"/>
              <w:adjustRightInd w:val="0"/>
              <w:rPr>
                <w:rFonts w:ascii="Times New Roman" w:hAnsi="Times New Roman"/>
                <w:szCs w:val="22"/>
                <w:lang w:val="en-GB"/>
              </w:rPr>
            </w:pPr>
          </w:p>
        </w:tc>
        <w:tc>
          <w:tcPr>
            <w:tcW w:w="2179" w:type="dxa"/>
          </w:tcPr>
          <w:p w:rsidR="00205323" w:rsidRPr="00174C5D" w:rsidRDefault="00205323" w:rsidP="00205323">
            <w:pPr>
              <w:tabs>
                <w:tab w:val="left" w:pos="355"/>
              </w:tabs>
              <w:autoSpaceDE w:val="0"/>
              <w:autoSpaceDN w:val="0"/>
              <w:adjustRightInd w:val="0"/>
              <w:rPr>
                <w:rFonts w:ascii="Times New Roman" w:hAnsi="Times New Roman"/>
                <w:color w:val="000000"/>
                <w:szCs w:val="22"/>
                <w:lang w:val="en-GB"/>
              </w:rPr>
            </w:pPr>
          </w:p>
        </w:tc>
        <w:tc>
          <w:tcPr>
            <w:tcW w:w="2502" w:type="dxa"/>
          </w:tcPr>
          <w:p w:rsidR="00205323" w:rsidRPr="00174C5D" w:rsidRDefault="00205323" w:rsidP="00205323">
            <w:pPr>
              <w:tabs>
                <w:tab w:val="left" w:pos="355"/>
                <w:tab w:val="left" w:pos="2232"/>
              </w:tabs>
              <w:autoSpaceDE w:val="0"/>
              <w:autoSpaceDN w:val="0"/>
              <w:adjustRightInd w:val="0"/>
              <w:ind w:right="324"/>
              <w:rPr>
                <w:rFonts w:ascii="Times New Roman" w:hAnsi="Times New Roman"/>
                <w:color w:val="000000"/>
                <w:szCs w:val="22"/>
                <w:lang w:val="en-GB"/>
              </w:rPr>
            </w:pPr>
          </w:p>
        </w:tc>
      </w:tr>
      <w:tr w:rsidR="00205323" w:rsidRPr="00174C5D" w:rsidTr="00205323">
        <w:trPr>
          <w:trHeight w:val="548"/>
          <w:jc w:val="center"/>
        </w:trPr>
        <w:tc>
          <w:tcPr>
            <w:tcW w:w="2875" w:type="dxa"/>
          </w:tcPr>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 xml:space="preserve">Aider le Gouvernement à surmonter les obstacles afin d'accroître de manière significative l'utilisation des ressources de biogaz pour répondre aux besoins en énergie du pays. </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Réduction des émissions (en tonnes de CO2 sur une période de 20 ans)</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 xml:space="preserve">Nombre de digesteurs installés (domestiques et à grande échelle) </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 xml:space="preserve">Énergie produite par capacité installée durant le projet en MWhTh </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 xml:space="preserve">Nombre d'emplois créés </w:t>
            </w:r>
          </w:p>
        </w:tc>
        <w:tc>
          <w:tcPr>
            <w:tcW w:w="2070"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lastRenderedPageBreak/>
              <w:t>L'approvisionnement principal en énergie consiste en 89 % de biomasse, 10 % de pétrole et 1 % d'énergie hydraulique.</w:t>
            </w: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t xml:space="preserve">La plus grande partie de la production et de l'utilisation énergétique est </w:t>
            </w:r>
            <w:r w:rsidRPr="00174C5D">
              <w:rPr>
                <w:rFonts w:ascii="Times New Roman" w:hAnsi="Times New Roman"/>
                <w:color w:val="000000"/>
                <w:szCs w:val="22"/>
              </w:rPr>
              <w:lastRenderedPageBreak/>
              <w:t>concentrée dans le sous-secteur domestique, avec une utilisation massive de biomasse.</w:t>
            </w:r>
          </w:p>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Aucun investissement mis en place dans le biogaz domestique et à grande échelle</w:t>
            </w:r>
            <w:r w:rsidRPr="00174C5D">
              <w:rPr>
                <w:rFonts w:ascii="Times New Roman" w:hAnsi="Times New Roman"/>
                <w:szCs w:val="22"/>
              </w:rPr>
              <w:t xml:space="preserve">. </w:t>
            </w:r>
          </w:p>
        </w:tc>
        <w:tc>
          <w:tcPr>
            <w:tcW w:w="2749"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lastRenderedPageBreak/>
              <w:t xml:space="preserve"> Réduction des émissions à hauteur de 1 026 000 tCO</w:t>
            </w:r>
            <w:r w:rsidRPr="00174C5D">
              <w:rPr>
                <w:rFonts w:ascii="Times New Roman" w:hAnsi="Times New Roman"/>
                <w:szCs w:val="22"/>
                <w:vertAlign w:val="subscript"/>
              </w:rPr>
              <w:t>2</w:t>
            </w:r>
            <w:r w:rsidRPr="00174C5D">
              <w:rPr>
                <w:rFonts w:ascii="Times New Roman" w:hAnsi="Times New Roman"/>
                <w:szCs w:val="22"/>
              </w:rPr>
              <w:t xml:space="preserve"> (directes et indirectes) sur une durée de vie de 20 ans des digesteurs installés.</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Installation de 2 000 digesteurs domestiques et de 10 digesteurs de gros volume.</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Réduction de 864 900 tonnes des émissions de CO</w:t>
            </w:r>
            <w:r w:rsidRPr="00174C5D">
              <w:rPr>
                <w:rFonts w:ascii="Times New Roman" w:hAnsi="Times New Roman"/>
                <w:szCs w:val="22"/>
                <w:vertAlign w:val="subscript"/>
              </w:rPr>
              <w:t>2</w:t>
            </w:r>
            <w:r w:rsidRPr="00174C5D">
              <w:rPr>
                <w:rFonts w:ascii="Times New Roman" w:hAnsi="Times New Roman"/>
                <w:szCs w:val="22"/>
              </w:rPr>
              <w:t xml:space="preserve"> indirectes après projet.</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lastRenderedPageBreak/>
              <w:t>Production de 64 270 MWh</w:t>
            </w:r>
            <w:r w:rsidRPr="00174C5D">
              <w:rPr>
                <w:rFonts w:ascii="Times New Roman" w:hAnsi="Times New Roman"/>
                <w:szCs w:val="22"/>
                <w:vertAlign w:val="subscript"/>
              </w:rPr>
              <w:t>TH</w:t>
            </w:r>
            <w:r w:rsidRPr="00174C5D">
              <w:rPr>
                <w:rFonts w:ascii="Times New Roman" w:hAnsi="Times New Roman"/>
                <w:szCs w:val="22"/>
              </w:rPr>
              <w:t xml:space="preserve"> d'ici la fin du projet et production constante de 28 542 MWh</w:t>
            </w:r>
            <w:r w:rsidRPr="00174C5D">
              <w:rPr>
                <w:rFonts w:ascii="Times New Roman" w:hAnsi="Times New Roman"/>
                <w:szCs w:val="22"/>
                <w:vertAlign w:val="subscript"/>
              </w:rPr>
              <w:t>TH</w:t>
            </w:r>
            <w:r w:rsidRPr="00174C5D">
              <w:rPr>
                <w:rFonts w:ascii="Times New Roman" w:hAnsi="Times New Roman"/>
                <w:szCs w:val="22"/>
              </w:rPr>
              <w:t>/année sur la durée de vie prévue de 20 ans du digesteur.</w:t>
            </w: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Création de 3 000 emplois dans le secteur agricole et de 500 emplois pour la construction des digesteurs.</w:t>
            </w:r>
          </w:p>
        </w:tc>
        <w:tc>
          <w:tcPr>
            <w:tcW w:w="2179"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lastRenderedPageBreak/>
              <w:t>Rapports annuels de projet, rapports de vérification et de surveillance des GES.</w:t>
            </w:r>
          </w:p>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Rapport d'évaluation finale du projet.</w:t>
            </w:r>
          </w:p>
        </w:tc>
        <w:tc>
          <w:tcPr>
            <w:tcW w:w="2502" w:type="dxa"/>
          </w:tcPr>
          <w:p w:rsidR="00205323" w:rsidRPr="00865A23" w:rsidRDefault="00205323" w:rsidP="00C026AC">
            <w:pPr>
              <w:tabs>
                <w:tab w:val="left" w:pos="355"/>
                <w:tab w:val="left" w:pos="2232"/>
              </w:tabs>
              <w:autoSpaceDE w:val="0"/>
              <w:autoSpaceDN w:val="0"/>
              <w:adjustRightInd w:val="0"/>
              <w:ind w:right="324"/>
              <w:jc w:val="left"/>
              <w:rPr>
                <w:rFonts w:ascii="Times New Roman" w:hAnsi="Times New Roman"/>
                <w:color w:val="000000"/>
                <w:szCs w:val="22"/>
              </w:rPr>
            </w:pPr>
            <w:r w:rsidRPr="00174C5D">
              <w:rPr>
                <w:rFonts w:ascii="Times New Roman" w:hAnsi="Times New Roman"/>
                <w:color w:val="000000"/>
                <w:szCs w:val="22"/>
              </w:rPr>
              <w:t>Engagement constant des partenaires du projet, notamment les agences gouvernementales et les parties prenantes privées.</w:t>
            </w:r>
          </w:p>
        </w:tc>
      </w:tr>
      <w:tr w:rsidR="00205323" w:rsidRPr="00174C5D" w:rsidTr="00205323">
        <w:trPr>
          <w:trHeight w:val="469"/>
          <w:jc w:val="center"/>
        </w:trPr>
        <w:tc>
          <w:tcPr>
            <w:tcW w:w="2875" w:type="dxa"/>
          </w:tcPr>
          <w:p w:rsidR="00205323" w:rsidRPr="00174C5D" w:rsidRDefault="00205323" w:rsidP="00205323">
            <w:pPr>
              <w:rPr>
                <w:rFonts w:ascii="Times New Roman" w:hAnsi="Times New Roman"/>
                <w:b/>
                <w:szCs w:val="22"/>
                <w:lang w:val="en-GB"/>
              </w:rPr>
            </w:pPr>
            <w:r w:rsidRPr="00174C5D">
              <w:rPr>
                <w:rFonts w:ascii="Times New Roman" w:hAnsi="Times New Roman"/>
                <w:b/>
                <w:bCs/>
                <w:szCs w:val="22"/>
              </w:rPr>
              <w:lastRenderedPageBreak/>
              <w:t xml:space="preserve">Résultats </w:t>
            </w:r>
          </w:p>
        </w:tc>
        <w:tc>
          <w:tcPr>
            <w:tcW w:w="2421" w:type="dxa"/>
          </w:tcPr>
          <w:p w:rsidR="00205323" w:rsidRPr="00174C5D" w:rsidRDefault="00205323" w:rsidP="00205323">
            <w:pPr>
              <w:tabs>
                <w:tab w:val="left" w:pos="355"/>
              </w:tabs>
              <w:autoSpaceDE w:val="0"/>
              <w:autoSpaceDN w:val="0"/>
              <w:adjustRightInd w:val="0"/>
              <w:rPr>
                <w:rFonts w:ascii="Times New Roman" w:hAnsi="Times New Roman"/>
                <w:szCs w:val="22"/>
                <w:lang w:val="en-GB"/>
              </w:rPr>
            </w:pPr>
          </w:p>
        </w:tc>
        <w:tc>
          <w:tcPr>
            <w:tcW w:w="2070" w:type="dxa"/>
          </w:tcPr>
          <w:p w:rsidR="00205323" w:rsidRPr="00174C5D" w:rsidRDefault="00205323" w:rsidP="00205323">
            <w:pPr>
              <w:tabs>
                <w:tab w:val="left" w:pos="355"/>
              </w:tabs>
              <w:autoSpaceDE w:val="0"/>
              <w:autoSpaceDN w:val="0"/>
              <w:adjustRightInd w:val="0"/>
              <w:rPr>
                <w:rFonts w:ascii="Times New Roman" w:hAnsi="Times New Roman"/>
                <w:color w:val="000000"/>
                <w:szCs w:val="22"/>
                <w:lang w:val="en-GB"/>
              </w:rPr>
            </w:pPr>
          </w:p>
        </w:tc>
        <w:tc>
          <w:tcPr>
            <w:tcW w:w="2749" w:type="dxa"/>
          </w:tcPr>
          <w:p w:rsidR="00205323" w:rsidRPr="00174C5D" w:rsidRDefault="00205323" w:rsidP="00205323">
            <w:pPr>
              <w:tabs>
                <w:tab w:val="left" w:pos="355"/>
              </w:tabs>
              <w:autoSpaceDE w:val="0"/>
              <w:autoSpaceDN w:val="0"/>
              <w:adjustRightInd w:val="0"/>
              <w:rPr>
                <w:rFonts w:ascii="Times New Roman" w:hAnsi="Times New Roman"/>
                <w:szCs w:val="22"/>
                <w:lang w:val="en-GB"/>
              </w:rPr>
            </w:pPr>
          </w:p>
        </w:tc>
        <w:tc>
          <w:tcPr>
            <w:tcW w:w="2179" w:type="dxa"/>
          </w:tcPr>
          <w:p w:rsidR="00205323" w:rsidRPr="00174C5D" w:rsidRDefault="00205323" w:rsidP="00205323">
            <w:pPr>
              <w:tabs>
                <w:tab w:val="left" w:pos="355"/>
              </w:tabs>
              <w:autoSpaceDE w:val="0"/>
              <w:autoSpaceDN w:val="0"/>
              <w:adjustRightInd w:val="0"/>
              <w:rPr>
                <w:rFonts w:ascii="Times New Roman" w:hAnsi="Times New Roman"/>
                <w:color w:val="000000"/>
                <w:szCs w:val="22"/>
                <w:lang w:val="en-GB"/>
              </w:rPr>
            </w:pPr>
          </w:p>
        </w:tc>
        <w:tc>
          <w:tcPr>
            <w:tcW w:w="2502" w:type="dxa"/>
          </w:tcPr>
          <w:p w:rsidR="00205323" w:rsidRPr="00174C5D" w:rsidRDefault="00205323" w:rsidP="00205323">
            <w:pPr>
              <w:tabs>
                <w:tab w:val="left" w:pos="355"/>
                <w:tab w:val="left" w:pos="2232"/>
              </w:tabs>
              <w:autoSpaceDE w:val="0"/>
              <w:autoSpaceDN w:val="0"/>
              <w:adjustRightInd w:val="0"/>
              <w:ind w:right="324"/>
              <w:rPr>
                <w:rFonts w:ascii="Times New Roman" w:hAnsi="Times New Roman"/>
                <w:color w:val="000000"/>
                <w:szCs w:val="22"/>
                <w:lang w:val="en-GB"/>
              </w:rPr>
            </w:pPr>
          </w:p>
        </w:tc>
      </w:tr>
      <w:tr w:rsidR="00205323" w:rsidRPr="00174C5D" w:rsidTr="00205323">
        <w:trPr>
          <w:trHeight w:val="1070"/>
          <w:jc w:val="center"/>
        </w:trPr>
        <w:tc>
          <w:tcPr>
            <w:tcW w:w="2875"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b/>
                <w:bCs/>
                <w:szCs w:val="22"/>
              </w:rPr>
              <w:t xml:space="preserve">Résultat 1 : </w:t>
            </w:r>
            <w:r w:rsidRPr="00174C5D">
              <w:rPr>
                <w:rFonts w:ascii="Times New Roman" w:hAnsi="Times New Roman"/>
                <w:szCs w:val="22"/>
              </w:rPr>
              <w:t>Politique d'énergie et cadre réglementaire / juridique rationalisés et exhaustifs, pour l'utilisation de biogaz à titre de source durable d'énergie renouvelable.</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 xml:space="preserve">Existence d'une politique et d'un cadre réglementaire adéquats </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 xml:space="preserve">Rien n'est actuellement à la disposition des promoteurs et consommateurs de biogaz. </w:t>
            </w:r>
          </w:p>
        </w:tc>
        <w:tc>
          <w:tcPr>
            <w:tcW w:w="2749" w:type="dxa"/>
          </w:tcPr>
          <w:p w:rsidR="00205323" w:rsidRPr="00865A23" w:rsidRDefault="00205323" w:rsidP="00C026AC">
            <w:pPr>
              <w:shd w:val="clear" w:color="auto" w:fill="FFFFFF"/>
              <w:tabs>
                <w:tab w:val="left" w:pos="355"/>
              </w:tabs>
              <w:autoSpaceDE w:val="0"/>
              <w:autoSpaceDN w:val="0"/>
              <w:adjustRightInd w:val="0"/>
              <w:spacing w:line="274" w:lineRule="exact"/>
              <w:jc w:val="left"/>
              <w:rPr>
                <w:rFonts w:ascii="Times New Roman" w:hAnsi="Times New Roman"/>
                <w:szCs w:val="22"/>
              </w:rPr>
            </w:pPr>
            <w:r w:rsidRPr="00174C5D">
              <w:rPr>
                <w:rFonts w:ascii="Times New Roman" w:hAnsi="Times New Roman"/>
                <w:szCs w:val="22"/>
              </w:rPr>
              <w:t>À réaliser dans les 6 mois du lancement du projet et approbation du Gouvernement d'ici la fin de l'an 1.</w:t>
            </w:r>
          </w:p>
        </w:tc>
        <w:tc>
          <w:tcPr>
            <w:tcW w:w="2179" w:type="dxa"/>
          </w:tcPr>
          <w:p w:rsidR="00205323" w:rsidRPr="00865A23" w:rsidRDefault="00C026AC" w:rsidP="00C026AC">
            <w:pPr>
              <w:tabs>
                <w:tab w:val="left" w:pos="355"/>
              </w:tabs>
              <w:autoSpaceDE w:val="0"/>
              <w:autoSpaceDN w:val="0"/>
              <w:adjustRightInd w:val="0"/>
              <w:jc w:val="left"/>
              <w:rPr>
                <w:rFonts w:ascii="Times New Roman" w:hAnsi="Times New Roman"/>
                <w:szCs w:val="22"/>
              </w:rPr>
            </w:pPr>
            <w:r>
              <w:rPr>
                <w:rFonts w:ascii="Times New Roman" w:hAnsi="Times New Roman"/>
                <w:szCs w:val="22"/>
              </w:rPr>
              <w:t xml:space="preserve">Documents publiés. </w:t>
            </w:r>
            <w:r w:rsidR="00205323" w:rsidRPr="00174C5D">
              <w:rPr>
                <w:rFonts w:ascii="Times New Roman" w:hAnsi="Times New Roman"/>
                <w:szCs w:val="22"/>
              </w:rPr>
              <w:t>Législations / décrets gouvernementaux.</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Engagement des différentes institutions gouvernementales.</w:t>
            </w:r>
          </w:p>
        </w:tc>
      </w:tr>
      <w:tr w:rsidR="00205323" w:rsidRPr="00174C5D" w:rsidTr="00205323">
        <w:trPr>
          <w:trHeight w:val="1070"/>
          <w:jc w:val="center"/>
        </w:trPr>
        <w:tc>
          <w:tcPr>
            <w:tcW w:w="2875" w:type="dxa"/>
          </w:tcPr>
          <w:p w:rsidR="00205323" w:rsidRPr="004F2CBA" w:rsidRDefault="00205323" w:rsidP="00C026AC">
            <w:pPr>
              <w:jc w:val="left"/>
              <w:rPr>
                <w:rFonts w:ascii="Times New Roman" w:hAnsi="Times New Roman"/>
                <w:szCs w:val="22"/>
              </w:rPr>
            </w:pPr>
            <w:r w:rsidRPr="00174C5D">
              <w:rPr>
                <w:rFonts w:ascii="Times New Roman" w:hAnsi="Times New Roman"/>
                <w:b/>
                <w:bCs/>
                <w:szCs w:val="22"/>
              </w:rPr>
              <w:t xml:space="preserve">Produit 1.1 : </w:t>
            </w:r>
            <w:r w:rsidRPr="00174C5D">
              <w:rPr>
                <w:rFonts w:ascii="Times New Roman" w:hAnsi="Times New Roman"/>
                <w:szCs w:val="22"/>
              </w:rPr>
              <w:t>Une politique et un cadre juridique / réglementaire adéquats sur la production et l'utilisation de biogaz, sont formulés et opérationnels.</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Existence d'une politique et d'un cadre réglementaire adéquats.</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Rien n'est disponible à l'heure actuelle.</w:t>
            </w:r>
          </w:p>
        </w:tc>
        <w:tc>
          <w:tcPr>
            <w:tcW w:w="2749" w:type="dxa"/>
          </w:tcPr>
          <w:p w:rsidR="00205323" w:rsidRPr="00865A23" w:rsidRDefault="00205323" w:rsidP="00C026AC">
            <w:pPr>
              <w:shd w:val="clear" w:color="auto" w:fill="FFFFFF"/>
              <w:tabs>
                <w:tab w:val="left" w:pos="355"/>
              </w:tabs>
              <w:autoSpaceDE w:val="0"/>
              <w:autoSpaceDN w:val="0"/>
              <w:adjustRightInd w:val="0"/>
              <w:spacing w:line="274" w:lineRule="exact"/>
              <w:jc w:val="left"/>
              <w:rPr>
                <w:rFonts w:ascii="Times New Roman" w:hAnsi="Times New Roman"/>
                <w:szCs w:val="22"/>
              </w:rPr>
            </w:pPr>
            <w:r w:rsidRPr="00174C5D">
              <w:rPr>
                <w:rFonts w:ascii="Times New Roman" w:hAnsi="Times New Roman"/>
                <w:szCs w:val="22"/>
              </w:rPr>
              <w:t>À réaliser dans les 6 mois du lancement du projet et approbation du Gouvernement d'ici la fin de l'an 1.</w:t>
            </w:r>
          </w:p>
        </w:tc>
        <w:tc>
          <w:tcPr>
            <w:tcW w:w="2179"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Documents publiés.</w:t>
            </w:r>
            <w:r w:rsidR="0076445A">
              <w:rPr>
                <w:rFonts w:ascii="Times New Roman" w:hAnsi="Times New Roman"/>
                <w:szCs w:val="22"/>
              </w:rPr>
              <w:t xml:space="preserve"> </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Engagement des différentes institutions gouvernementales.</w:t>
            </w:r>
          </w:p>
        </w:tc>
      </w:tr>
      <w:tr w:rsidR="00205323" w:rsidRPr="00174C5D" w:rsidTr="00205323">
        <w:trPr>
          <w:trHeight w:val="568"/>
          <w:jc w:val="center"/>
        </w:trPr>
        <w:tc>
          <w:tcPr>
            <w:tcW w:w="2875" w:type="dxa"/>
          </w:tcPr>
          <w:p w:rsidR="00205323" w:rsidRPr="004F2CBA"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b/>
                <w:bCs/>
                <w:szCs w:val="22"/>
              </w:rPr>
              <w:t xml:space="preserve">Produit 1.2 : </w:t>
            </w:r>
            <w:r w:rsidRPr="00174C5D">
              <w:rPr>
                <w:rFonts w:ascii="Times New Roman" w:hAnsi="Times New Roman"/>
                <w:szCs w:val="22"/>
              </w:rPr>
              <w:t>Développement et renforcement de la capacité des décideurs et des parties prenantes afin d'assurer la direction des efforts pour la gestion d'un programme de développement et d'utilisation de biogaz d'une manière intégrée.</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Développement de la capacité des parties prenantes.</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 xml:space="preserve">Non disponible à l'heure actuelle. </w:t>
            </w:r>
          </w:p>
        </w:tc>
        <w:tc>
          <w:tcPr>
            <w:tcW w:w="2749" w:type="dxa"/>
          </w:tcPr>
          <w:p w:rsidR="00205323" w:rsidRPr="00865A23" w:rsidRDefault="00205323" w:rsidP="00C026AC">
            <w:pPr>
              <w:shd w:val="clear" w:color="auto" w:fill="FFFFFF"/>
              <w:tabs>
                <w:tab w:val="left" w:pos="355"/>
              </w:tabs>
              <w:autoSpaceDE w:val="0"/>
              <w:autoSpaceDN w:val="0"/>
              <w:adjustRightInd w:val="0"/>
              <w:spacing w:line="274" w:lineRule="exact"/>
              <w:jc w:val="left"/>
              <w:rPr>
                <w:rFonts w:ascii="Times New Roman" w:hAnsi="Times New Roman"/>
                <w:szCs w:val="22"/>
              </w:rPr>
            </w:pPr>
            <w:r w:rsidRPr="00174C5D">
              <w:rPr>
                <w:rFonts w:ascii="Times New Roman" w:hAnsi="Times New Roman"/>
                <w:szCs w:val="22"/>
              </w:rPr>
              <w:t>À effectuer dans les 6 mois du lancement du projet.</w:t>
            </w:r>
          </w:p>
        </w:tc>
        <w:tc>
          <w:tcPr>
            <w:tcW w:w="2179"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Documents publiés.</w:t>
            </w: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Engagement des différentes parties prenantes du projet et des institutions gouvernementales.</w:t>
            </w:r>
          </w:p>
        </w:tc>
      </w:tr>
      <w:tr w:rsidR="00205323" w:rsidRPr="00174C5D" w:rsidTr="00205323">
        <w:trPr>
          <w:trHeight w:val="1070"/>
          <w:jc w:val="center"/>
        </w:trPr>
        <w:tc>
          <w:tcPr>
            <w:tcW w:w="2875" w:type="dxa"/>
          </w:tcPr>
          <w:p w:rsidR="00205323" w:rsidRPr="00865A23" w:rsidRDefault="00205323" w:rsidP="00C026AC">
            <w:pPr>
              <w:jc w:val="left"/>
              <w:rPr>
                <w:rFonts w:ascii="Times New Roman" w:hAnsi="Times New Roman"/>
                <w:b/>
                <w:szCs w:val="22"/>
              </w:rPr>
            </w:pPr>
            <w:r w:rsidRPr="00174C5D">
              <w:rPr>
                <w:rFonts w:ascii="Times New Roman" w:hAnsi="Times New Roman"/>
                <w:b/>
                <w:bCs/>
                <w:szCs w:val="22"/>
              </w:rPr>
              <w:lastRenderedPageBreak/>
              <w:t>Produit 1.3 :</w:t>
            </w:r>
            <w:r w:rsidRPr="00174C5D">
              <w:rPr>
                <w:rFonts w:ascii="Times New Roman" w:hAnsi="Times New Roman"/>
                <w:szCs w:val="22"/>
              </w:rPr>
              <w:t xml:space="preserve"> Réalisation d'une évaluation exhaustive du marché relatif au potentiel du pays en ressources de biogaz et développement d'options pour une utilisation du biogaz et du lisier. </w:t>
            </w:r>
          </w:p>
        </w:tc>
        <w:tc>
          <w:tcPr>
            <w:tcW w:w="2421"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Réalisation d'une évaluation exhaustive du marché relatif au potentiel du biogaz.</w:t>
            </w:r>
          </w:p>
        </w:tc>
        <w:tc>
          <w:tcPr>
            <w:tcW w:w="2070"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Aucune à l’heure actuelle.</w:t>
            </w:r>
          </w:p>
        </w:tc>
        <w:tc>
          <w:tcPr>
            <w:tcW w:w="2749" w:type="dxa"/>
          </w:tcPr>
          <w:p w:rsidR="00205323" w:rsidRPr="00865A23" w:rsidRDefault="00205323" w:rsidP="00C026AC">
            <w:pPr>
              <w:shd w:val="clear" w:color="auto" w:fill="FFFFFF"/>
              <w:tabs>
                <w:tab w:val="left" w:pos="355"/>
              </w:tabs>
              <w:autoSpaceDE w:val="0"/>
              <w:autoSpaceDN w:val="0"/>
              <w:adjustRightInd w:val="0"/>
              <w:spacing w:line="274" w:lineRule="exact"/>
              <w:jc w:val="left"/>
              <w:rPr>
                <w:rFonts w:ascii="Times New Roman" w:hAnsi="Times New Roman"/>
                <w:szCs w:val="22"/>
              </w:rPr>
            </w:pPr>
            <w:r w:rsidRPr="00174C5D">
              <w:rPr>
                <w:rFonts w:ascii="Times New Roman" w:hAnsi="Times New Roman"/>
                <w:szCs w:val="22"/>
              </w:rPr>
              <w:t>À effectuer dans les 6 mois du lancement du projet.</w:t>
            </w:r>
          </w:p>
        </w:tc>
        <w:tc>
          <w:tcPr>
            <w:tcW w:w="2179"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Documentation du projet.</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Intérêt constant des parties prenantes.</w:t>
            </w:r>
          </w:p>
        </w:tc>
      </w:tr>
      <w:tr w:rsidR="00205323" w:rsidRPr="00174C5D" w:rsidTr="00205323">
        <w:trPr>
          <w:trHeight w:val="1250"/>
          <w:jc w:val="center"/>
        </w:trPr>
        <w:tc>
          <w:tcPr>
            <w:tcW w:w="2875" w:type="dxa"/>
          </w:tcPr>
          <w:p w:rsidR="00205323" w:rsidRPr="004F2CBA" w:rsidRDefault="00205323" w:rsidP="00C026AC">
            <w:pPr>
              <w:tabs>
                <w:tab w:val="left" w:pos="355"/>
              </w:tabs>
              <w:autoSpaceDE w:val="0"/>
              <w:autoSpaceDN w:val="0"/>
              <w:adjustRightInd w:val="0"/>
              <w:jc w:val="left"/>
              <w:rPr>
                <w:rFonts w:ascii="Times New Roman" w:hAnsi="Times New Roman"/>
                <w:color w:val="FF0000"/>
                <w:szCs w:val="22"/>
              </w:rPr>
            </w:pPr>
            <w:r w:rsidRPr="00174C5D">
              <w:rPr>
                <w:rFonts w:ascii="Times New Roman" w:hAnsi="Times New Roman"/>
                <w:b/>
                <w:bCs/>
                <w:color w:val="000000"/>
                <w:szCs w:val="22"/>
              </w:rPr>
              <w:t>Résultat 2</w:t>
            </w:r>
            <w:r w:rsidRPr="00174C5D">
              <w:rPr>
                <w:rFonts w:ascii="Times New Roman" w:hAnsi="Times New Roman"/>
                <w:color w:val="000000"/>
                <w:szCs w:val="22"/>
              </w:rPr>
              <w:t xml:space="preserve"> : </w:t>
            </w:r>
            <w:r w:rsidRPr="00174C5D">
              <w:rPr>
                <w:rFonts w:ascii="Times New Roman" w:hAnsi="Times New Roman"/>
                <w:szCs w:val="22"/>
              </w:rPr>
              <w:t>Promotion des investissements en faveur de la technologie de biogaz grâce aux mesures d'incitation financière faisant office de catalyseur pour les développeurs de projet.</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t>Capacité des digesteurs de biogaz installés (en nombre d'unités et capacité MW totale)</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Aucun document exhaustif n'est disponible à l'heure actuelle.</w:t>
            </w:r>
          </w:p>
          <w:p w:rsidR="00205323" w:rsidRPr="00865A23" w:rsidRDefault="00205323" w:rsidP="00C026AC">
            <w:pPr>
              <w:tabs>
                <w:tab w:val="left" w:pos="355"/>
              </w:tabs>
              <w:autoSpaceDE w:val="0"/>
              <w:autoSpaceDN w:val="0"/>
              <w:adjustRightInd w:val="0"/>
              <w:jc w:val="left"/>
              <w:rPr>
                <w:rFonts w:ascii="Times New Roman" w:hAnsi="Times New Roman"/>
                <w:szCs w:val="22"/>
              </w:rPr>
            </w:pPr>
          </w:p>
          <w:p w:rsidR="00205323" w:rsidRPr="00865A23" w:rsidRDefault="00205323" w:rsidP="00C026AC">
            <w:pPr>
              <w:tabs>
                <w:tab w:val="left" w:pos="355"/>
              </w:tabs>
              <w:autoSpaceDE w:val="0"/>
              <w:autoSpaceDN w:val="0"/>
              <w:adjustRightInd w:val="0"/>
              <w:jc w:val="left"/>
              <w:rPr>
                <w:rFonts w:ascii="Times New Roman" w:hAnsi="Times New Roman"/>
                <w:szCs w:val="22"/>
              </w:rPr>
            </w:pPr>
          </w:p>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szCs w:val="22"/>
              </w:rPr>
              <w:t>Aucun digesteur n'est en cours de construction à l'heure actuelle.</w:t>
            </w:r>
          </w:p>
        </w:tc>
        <w:tc>
          <w:tcPr>
            <w:tcW w:w="2749" w:type="dxa"/>
          </w:tcPr>
          <w:p w:rsidR="00205323" w:rsidRPr="00865A23" w:rsidRDefault="00205323" w:rsidP="00C026AC">
            <w:pPr>
              <w:shd w:val="clear" w:color="auto" w:fill="FFFFFF"/>
              <w:tabs>
                <w:tab w:val="left" w:pos="355"/>
              </w:tabs>
              <w:autoSpaceDE w:val="0"/>
              <w:autoSpaceDN w:val="0"/>
              <w:adjustRightInd w:val="0"/>
              <w:spacing w:line="274" w:lineRule="exact"/>
              <w:jc w:val="left"/>
              <w:rPr>
                <w:rFonts w:ascii="Times New Roman" w:hAnsi="Times New Roman"/>
                <w:color w:val="000000"/>
                <w:szCs w:val="22"/>
              </w:rPr>
            </w:pPr>
            <w:r w:rsidRPr="00174C5D">
              <w:rPr>
                <w:rFonts w:ascii="Times New Roman" w:hAnsi="Times New Roman"/>
                <w:color w:val="000000"/>
                <w:szCs w:val="22"/>
              </w:rPr>
              <w:t>À réaliser dans les 6 mois du lancement du projet avec une application ultérieure par le Gouvernement.</w:t>
            </w:r>
          </w:p>
          <w:p w:rsidR="00205323" w:rsidRPr="00865A23" w:rsidRDefault="00205323" w:rsidP="00C026AC">
            <w:pPr>
              <w:shd w:val="clear" w:color="auto" w:fill="FFFFFF"/>
              <w:tabs>
                <w:tab w:val="left" w:pos="355"/>
              </w:tabs>
              <w:autoSpaceDE w:val="0"/>
              <w:autoSpaceDN w:val="0"/>
              <w:adjustRightInd w:val="0"/>
              <w:spacing w:line="274" w:lineRule="exact"/>
              <w:jc w:val="left"/>
              <w:rPr>
                <w:rFonts w:ascii="Times New Roman" w:hAnsi="Times New Roman"/>
                <w:color w:val="000000"/>
                <w:szCs w:val="22"/>
              </w:rPr>
            </w:pPr>
          </w:p>
          <w:p w:rsidR="00205323" w:rsidRPr="004F2CBA" w:rsidRDefault="00205323" w:rsidP="00C026AC">
            <w:pPr>
              <w:shd w:val="clear" w:color="auto" w:fill="FFFFFF"/>
              <w:tabs>
                <w:tab w:val="left" w:pos="355"/>
              </w:tabs>
              <w:autoSpaceDE w:val="0"/>
              <w:autoSpaceDN w:val="0"/>
              <w:adjustRightInd w:val="0"/>
              <w:spacing w:line="274" w:lineRule="exact"/>
              <w:jc w:val="left"/>
              <w:rPr>
                <w:rFonts w:ascii="Times New Roman" w:hAnsi="Times New Roman"/>
                <w:color w:val="FF0000"/>
                <w:szCs w:val="22"/>
                <w:lang w:val="es-ES_tradnl"/>
              </w:rPr>
            </w:pPr>
            <w:r w:rsidRPr="00174C5D">
              <w:rPr>
                <w:rFonts w:ascii="Times New Roman" w:hAnsi="Times New Roman"/>
                <w:szCs w:val="22"/>
              </w:rPr>
              <w:t>Construction de 2 000 digesteurs domestiques et de 10 digesteurs de gros volume d'ici la fin du projet.</w:t>
            </w:r>
          </w:p>
        </w:tc>
        <w:tc>
          <w:tcPr>
            <w:tcW w:w="2179"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r w:rsidRPr="00174C5D">
              <w:rPr>
                <w:rFonts w:ascii="Times New Roman" w:hAnsi="Times New Roman"/>
                <w:color w:val="000000"/>
                <w:szCs w:val="22"/>
              </w:rPr>
              <w:t>Documentation du projet.</w:t>
            </w:r>
          </w:p>
        </w:tc>
        <w:tc>
          <w:tcPr>
            <w:tcW w:w="2502" w:type="dxa"/>
          </w:tcPr>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p>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p>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p>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p>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r w:rsidRPr="00174C5D">
              <w:rPr>
                <w:rFonts w:ascii="Times New Roman" w:hAnsi="Times New Roman"/>
                <w:color w:val="000000"/>
                <w:szCs w:val="22"/>
              </w:rPr>
              <w:t>Coopérations des Entités gouvernementales.</w:t>
            </w:r>
          </w:p>
        </w:tc>
      </w:tr>
      <w:tr w:rsidR="00205323" w:rsidRPr="00174C5D" w:rsidTr="00205323">
        <w:trPr>
          <w:trHeight w:val="1070"/>
          <w:jc w:val="center"/>
        </w:trPr>
        <w:tc>
          <w:tcPr>
            <w:tcW w:w="2875" w:type="dxa"/>
          </w:tcPr>
          <w:p w:rsidR="00205323" w:rsidRPr="004F2CBA" w:rsidRDefault="00205323" w:rsidP="00C026AC">
            <w:pPr>
              <w:ind w:left="-23"/>
              <w:jc w:val="left"/>
              <w:rPr>
                <w:rFonts w:ascii="Times New Roman" w:hAnsi="Times New Roman"/>
                <w:color w:val="000000"/>
                <w:szCs w:val="22"/>
                <w:lang w:val="es-ES_tradnl"/>
              </w:rPr>
            </w:pPr>
            <w:r w:rsidRPr="00174C5D">
              <w:rPr>
                <w:rFonts w:ascii="Times New Roman" w:hAnsi="Times New Roman"/>
                <w:b/>
                <w:bCs/>
                <w:color w:val="000000"/>
                <w:szCs w:val="22"/>
              </w:rPr>
              <w:t xml:space="preserve">Produit 2.1 : </w:t>
            </w:r>
            <w:r w:rsidRPr="00174C5D">
              <w:rPr>
                <w:rFonts w:ascii="Times New Roman" w:hAnsi="Times New Roman"/>
                <w:szCs w:val="22"/>
              </w:rPr>
              <w:t xml:space="preserve">Mécanisme de soutien financier mis en place afin de soutenir l'investissement en faveur de la technologie de biogaz aux niveaux domestique, institutionnel, commercial et industriel. </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t>Mécanisme de soutien financier (FSM - Financial Support Mechanism) établi au sein de l'ANAMIF.</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szCs w:val="22"/>
              </w:rPr>
              <w:t>Non disponible à l'heure actuelle.</w:t>
            </w:r>
          </w:p>
        </w:tc>
        <w:tc>
          <w:tcPr>
            <w:tcW w:w="2749" w:type="dxa"/>
          </w:tcPr>
          <w:p w:rsidR="00205323" w:rsidRPr="00865A23" w:rsidRDefault="00205323" w:rsidP="00C026AC">
            <w:pPr>
              <w:tabs>
                <w:tab w:val="left" w:pos="355"/>
              </w:tabs>
              <w:autoSpaceDE w:val="0"/>
              <w:autoSpaceDN w:val="0"/>
              <w:adjustRightInd w:val="0"/>
              <w:jc w:val="left"/>
              <w:rPr>
                <w:rFonts w:ascii="Times New Roman" w:hAnsi="Times New Roman"/>
                <w:color w:val="FF0000"/>
                <w:szCs w:val="22"/>
              </w:rPr>
            </w:pPr>
            <w:r w:rsidRPr="00174C5D">
              <w:rPr>
                <w:rFonts w:ascii="Times New Roman" w:hAnsi="Times New Roman"/>
                <w:szCs w:val="22"/>
              </w:rPr>
              <w:t>À réaliser dans les 6 mois du lancement du projet avec une application par le Gouvernement.</w:t>
            </w:r>
          </w:p>
        </w:tc>
        <w:tc>
          <w:tcPr>
            <w:tcW w:w="2179"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Rapport de projet.</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Coopération de parties prenantes des secteurs public et privé.</w:t>
            </w:r>
          </w:p>
        </w:tc>
      </w:tr>
      <w:tr w:rsidR="00205323" w:rsidRPr="00174C5D" w:rsidTr="00205323">
        <w:trPr>
          <w:trHeight w:val="1070"/>
          <w:jc w:val="center"/>
        </w:trPr>
        <w:tc>
          <w:tcPr>
            <w:tcW w:w="2875" w:type="dxa"/>
          </w:tcPr>
          <w:p w:rsidR="00205323" w:rsidRPr="004F2CBA" w:rsidRDefault="00205323" w:rsidP="00C026AC">
            <w:pPr>
              <w:ind w:left="-23"/>
              <w:jc w:val="left"/>
              <w:rPr>
                <w:rFonts w:ascii="Times New Roman" w:hAnsi="Times New Roman"/>
                <w:color w:val="000000"/>
                <w:szCs w:val="22"/>
                <w:lang w:val="es-ES_tradnl"/>
              </w:rPr>
            </w:pPr>
            <w:r w:rsidRPr="00174C5D">
              <w:rPr>
                <w:rFonts w:ascii="Times New Roman" w:hAnsi="Times New Roman"/>
                <w:b/>
                <w:bCs/>
                <w:color w:val="000000"/>
                <w:szCs w:val="22"/>
              </w:rPr>
              <w:t xml:space="preserve">Produit 2.2 : </w:t>
            </w:r>
            <w:r w:rsidRPr="00174C5D">
              <w:rPr>
                <w:rFonts w:ascii="Times New Roman" w:hAnsi="Times New Roman"/>
                <w:color w:val="000000"/>
                <w:szCs w:val="22"/>
              </w:rPr>
              <w:t>PA (Protocole d'accord) signé avec l'ANAMIF afin de définir l'objectif, le mécanisme de financement, les règles d'administration régissant le FSM.</w:t>
            </w:r>
          </w:p>
        </w:tc>
        <w:tc>
          <w:tcPr>
            <w:tcW w:w="2421"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t>Accès au financement disponible pour les producteurs de biogaz.</w:t>
            </w:r>
          </w:p>
        </w:tc>
        <w:tc>
          <w:tcPr>
            <w:tcW w:w="2070"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color w:val="000000"/>
                <w:szCs w:val="22"/>
              </w:rPr>
              <w:t>Rien n'est mis à disposition.</w:t>
            </w:r>
          </w:p>
        </w:tc>
        <w:tc>
          <w:tcPr>
            <w:tcW w:w="2749"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À réaliser dans les 6 mois du lancement du projet avec une application ultérieure par le Gouvernement.</w:t>
            </w:r>
          </w:p>
        </w:tc>
        <w:tc>
          <w:tcPr>
            <w:tcW w:w="2179"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color w:val="000000"/>
                <w:szCs w:val="22"/>
              </w:rPr>
              <w:t>Documentation du projet.</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Coopération des entités gouvernementales et de leur personnel.</w:t>
            </w:r>
          </w:p>
        </w:tc>
      </w:tr>
      <w:tr w:rsidR="00205323" w:rsidRPr="00174C5D" w:rsidTr="00205323">
        <w:trPr>
          <w:trHeight w:val="2060"/>
          <w:jc w:val="center"/>
        </w:trPr>
        <w:tc>
          <w:tcPr>
            <w:tcW w:w="2875" w:type="dxa"/>
          </w:tcPr>
          <w:p w:rsidR="00205323" w:rsidRPr="004F2CBA" w:rsidRDefault="00205323" w:rsidP="00C026AC">
            <w:pPr>
              <w:tabs>
                <w:tab w:val="left" w:pos="355"/>
              </w:tabs>
              <w:autoSpaceDE w:val="0"/>
              <w:autoSpaceDN w:val="0"/>
              <w:adjustRightInd w:val="0"/>
              <w:jc w:val="left"/>
              <w:rPr>
                <w:rFonts w:ascii="Times New Roman" w:hAnsi="Times New Roman"/>
                <w:color w:val="FF0000"/>
                <w:szCs w:val="22"/>
              </w:rPr>
            </w:pPr>
            <w:r w:rsidRPr="00174C5D">
              <w:rPr>
                <w:rFonts w:ascii="Times New Roman" w:hAnsi="Times New Roman"/>
                <w:b/>
                <w:bCs/>
                <w:color w:val="000000"/>
                <w:szCs w:val="22"/>
              </w:rPr>
              <w:lastRenderedPageBreak/>
              <w:t xml:space="preserve">Produit 2.3 : </w:t>
            </w:r>
            <w:r w:rsidRPr="00174C5D">
              <w:rPr>
                <w:rFonts w:ascii="Times New Roman" w:hAnsi="Times New Roman"/>
                <w:szCs w:val="22"/>
              </w:rPr>
              <w:t>Mesures d'incitation financière et autres pour les applications de technologie du biogaz développées et mises en œuvre pour une utilisation à titre de substitut à l'engrais chimique et à la biomasse forestière.</w:t>
            </w:r>
            <w:r w:rsidR="0076445A">
              <w:rPr>
                <w:rFonts w:ascii="Times New Roman" w:hAnsi="Times New Roman"/>
                <w:szCs w:val="22"/>
              </w:rPr>
              <w:t xml:space="preserve"> </w:t>
            </w:r>
          </w:p>
        </w:tc>
        <w:tc>
          <w:tcPr>
            <w:tcW w:w="2421" w:type="dxa"/>
          </w:tcPr>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 xml:space="preserve">Un investissement dans la technologie du biogaz est en cours. </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Rien n'est disponible à l'heure actuelle.</w:t>
            </w:r>
          </w:p>
          <w:p w:rsidR="00205323" w:rsidRPr="00865A23" w:rsidRDefault="00205323" w:rsidP="00C026AC">
            <w:pPr>
              <w:tabs>
                <w:tab w:val="left" w:pos="355"/>
              </w:tabs>
              <w:autoSpaceDE w:val="0"/>
              <w:autoSpaceDN w:val="0"/>
              <w:adjustRightInd w:val="0"/>
              <w:jc w:val="left"/>
              <w:rPr>
                <w:rFonts w:ascii="Times New Roman" w:hAnsi="Times New Roman"/>
                <w:szCs w:val="22"/>
              </w:rPr>
            </w:pPr>
          </w:p>
          <w:p w:rsidR="00205323" w:rsidRPr="00865A23" w:rsidRDefault="00205323" w:rsidP="00C026AC">
            <w:pPr>
              <w:tabs>
                <w:tab w:val="left" w:pos="355"/>
              </w:tabs>
              <w:autoSpaceDE w:val="0"/>
              <w:autoSpaceDN w:val="0"/>
              <w:adjustRightInd w:val="0"/>
              <w:jc w:val="left"/>
              <w:rPr>
                <w:rFonts w:ascii="Times New Roman" w:hAnsi="Times New Roman"/>
                <w:szCs w:val="22"/>
              </w:rPr>
            </w:pPr>
          </w:p>
          <w:p w:rsidR="00205323" w:rsidRPr="00865A23" w:rsidRDefault="00205323" w:rsidP="00C026AC">
            <w:pPr>
              <w:tabs>
                <w:tab w:val="left" w:pos="355"/>
              </w:tabs>
              <w:autoSpaceDE w:val="0"/>
              <w:autoSpaceDN w:val="0"/>
              <w:adjustRightInd w:val="0"/>
              <w:jc w:val="left"/>
              <w:rPr>
                <w:rFonts w:ascii="Times New Roman" w:hAnsi="Times New Roman"/>
                <w:szCs w:val="22"/>
              </w:rPr>
            </w:pPr>
          </w:p>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Aucun investissement n'est en place à l'heure actuelle.</w:t>
            </w:r>
          </w:p>
        </w:tc>
        <w:tc>
          <w:tcPr>
            <w:tcW w:w="2749"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À réaliser dans les 6 mois du lancement du projet avec une application ultérieure par le Gouvernement.</w:t>
            </w:r>
          </w:p>
          <w:p w:rsidR="00205323" w:rsidRPr="00865A23" w:rsidRDefault="00205323" w:rsidP="00C026AC">
            <w:pPr>
              <w:tabs>
                <w:tab w:val="left" w:pos="355"/>
              </w:tabs>
              <w:autoSpaceDE w:val="0"/>
              <w:autoSpaceDN w:val="0"/>
              <w:adjustRightInd w:val="0"/>
              <w:jc w:val="left"/>
              <w:rPr>
                <w:rFonts w:ascii="Times New Roman" w:hAnsi="Times New Roman"/>
                <w:szCs w:val="22"/>
              </w:rPr>
            </w:pP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t>2 millions de dollars investis en faveur de projets d'énergie propre d'ici la fin du projet.</w:t>
            </w:r>
          </w:p>
        </w:tc>
        <w:tc>
          <w:tcPr>
            <w:tcW w:w="2179"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Rapports de projet.</w:t>
            </w:r>
          </w:p>
        </w:tc>
        <w:tc>
          <w:tcPr>
            <w:tcW w:w="2502"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r w:rsidRPr="00174C5D">
              <w:rPr>
                <w:rFonts w:ascii="Times New Roman" w:hAnsi="Times New Roman"/>
                <w:color w:val="000000"/>
                <w:szCs w:val="22"/>
              </w:rPr>
              <w:t>Soutien des Autorités gouvernementales concernées.</w:t>
            </w: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4F2CBA" w:rsidRDefault="00205323" w:rsidP="00C026AC">
            <w:pPr>
              <w:tabs>
                <w:tab w:val="left" w:pos="355"/>
              </w:tabs>
              <w:autoSpaceDE w:val="0"/>
              <w:autoSpaceDN w:val="0"/>
              <w:adjustRightInd w:val="0"/>
              <w:jc w:val="left"/>
              <w:rPr>
                <w:rFonts w:ascii="Times New Roman" w:hAnsi="Times New Roman"/>
                <w:color w:val="000000"/>
                <w:szCs w:val="22"/>
                <w:lang w:val="es-ES_tradnl"/>
              </w:rPr>
            </w:pPr>
          </w:p>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r w:rsidRPr="00174C5D">
              <w:rPr>
                <w:rFonts w:ascii="Times New Roman" w:hAnsi="Times New Roman"/>
                <w:color w:val="000000"/>
                <w:szCs w:val="22"/>
              </w:rPr>
              <w:t>Intérêt constant des investisseurs.</w:t>
            </w:r>
          </w:p>
        </w:tc>
      </w:tr>
      <w:tr w:rsidR="00205323" w:rsidRPr="00174C5D" w:rsidTr="00205323">
        <w:trPr>
          <w:trHeight w:val="1070"/>
          <w:jc w:val="center"/>
        </w:trPr>
        <w:tc>
          <w:tcPr>
            <w:tcW w:w="2875" w:type="dxa"/>
          </w:tcPr>
          <w:p w:rsidR="00205323" w:rsidRPr="00865A23" w:rsidRDefault="00205323" w:rsidP="00C026AC">
            <w:pPr>
              <w:tabs>
                <w:tab w:val="left" w:pos="355"/>
              </w:tabs>
              <w:autoSpaceDE w:val="0"/>
              <w:autoSpaceDN w:val="0"/>
              <w:adjustRightInd w:val="0"/>
              <w:jc w:val="left"/>
              <w:rPr>
                <w:rFonts w:ascii="Times New Roman" w:hAnsi="Times New Roman"/>
                <w:b/>
                <w:color w:val="000000"/>
                <w:szCs w:val="22"/>
              </w:rPr>
            </w:pPr>
            <w:r w:rsidRPr="00174C5D">
              <w:rPr>
                <w:rFonts w:ascii="Times New Roman" w:hAnsi="Times New Roman"/>
                <w:b/>
                <w:bCs/>
                <w:color w:val="000000"/>
                <w:szCs w:val="22"/>
              </w:rPr>
              <w:t xml:space="preserve">Produit 2.4 : </w:t>
            </w:r>
            <w:r w:rsidRPr="00174C5D">
              <w:rPr>
                <w:rFonts w:ascii="Times New Roman" w:hAnsi="Times New Roman"/>
                <w:szCs w:val="22"/>
              </w:rPr>
              <w:t>Jusqu'à 2 000 petites unités (6 m</w:t>
            </w:r>
            <w:r w:rsidRPr="00174C5D">
              <w:rPr>
                <w:rFonts w:ascii="Times New Roman" w:hAnsi="Times New Roman"/>
                <w:szCs w:val="22"/>
                <w:vertAlign w:val="superscript"/>
              </w:rPr>
              <w:t>3</w:t>
            </w:r>
            <w:r w:rsidRPr="00174C5D">
              <w:rPr>
                <w:rFonts w:ascii="Times New Roman" w:hAnsi="Times New Roman"/>
                <w:szCs w:val="22"/>
              </w:rPr>
              <w:t>) domestiques construites et rendues opérationnelles.</w:t>
            </w:r>
          </w:p>
        </w:tc>
        <w:tc>
          <w:tcPr>
            <w:tcW w:w="2421"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Jusqu'à 2 000 petites unités (6 m</w:t>
            </w:r>
            <w:r w:rsidRPr="00174C5D">
              <w:rPr>
                <w:rFonts w:ascii="Times New Roman" w:hAnsi="Times New Roman"/>
                <w:szCs w:val="22"/>
                <w:vertAlign w:val="superscript"/>
              </w:rPr>
              <w:t>3</w:t>
            </w:r>
            <w:r w:rsidRPr="00174C5D">
              <w:rPr>
                <w:rFonts w:ascii="Times New Roman" w:hAnsi="Times New Roman"/>
                <w:szCs w:val="22"/>
              </w:rPr>
              <w:t>) domestiques installées.</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Aucune installée à ce jour.</w:t>
            </w:r>
          </w:p>
        </w:tc>
        <w:tc>
          <w:tcPr>
            <w:tcW w:w="2749"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À réaliser d'ici la fin du projet, comme suit :</w:t>
            </w:r>
          </w:p>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An 1 : 400 digesteurs</w:t>
            </w:r>
          </w:p>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An 2 : 700 digesteurs</w:t>
            </w:r>
          </w:p>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An 3 : 900 digesteurs</w:t>
            </w:r>
          </w:p>
        </w:tc>
        <w:tc>
          <w:tcPr>
            <w:tcW w:w="2179"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color w:val="000000"/>
                <w:szCs w:val="22"/>
              </w:rPr>
              <w:t>Visites de site et rapports de projet.</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Soutien du cadre institutionnel, juridique et réglementaire.</w:t>
            </w:r>
          </w:p>
        </w:tc>
      </w:tr>
      <w:tr w:rsidR="00205323" w:rsidRPr="00174C5D" w:rsidTr="00205323">
        <w:trPr>
          <w:trHeight w:val="559"/>
          <w:jc w:val="center"/>
        </w:trPr>
        <w:tc>
          <w:tcPr>
            <w:tcW w:w="2875" w:type="dxa"/>
          </w:tcPr>
          <w:p w:rsidR="00205323" w:rsidRPr="004F2CBA"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b/>
                <w:bCs/>
                <w:color w:val="000000"/>
                <w:szCs w:val="22"/>
              </w:rPr>
              <w:t>Produit 2.5</w:t>
            </w:r>
            <w:r w:rsidRPr="00174C5D">
              <w:rPr>
                <w:rFonts w:ascii="Times New Roman" w:hAnsi="Times New Roman"/>
                <w:color w:val="000000"/>
                <w:szCs w:val="22"/>
              </w:rPr>
              <w:t xml:space="preserve"> : Jusqu'à 10 </w:t>
            </w:r>
            <w:r w:rsidR="007562CF" w:rsidRPr="00174C5D">
              <w:rPr>
                <w:rFonts w:ascii="Times New Roman" w:hAnsi="Times New Roman"/>
                <w:color w:val="000000"/>
                <w:szCs w:val="22"/>
              </w:rPr>
              <w:t>bios digesteurs</w:t>
            </w:r>
            <w:r w:rsidRPr="00174C5D">
              <w:rPr>
                <w:rFonts w:ascii="Times New Roman" w:hAnsi="Times New Roman"/>
                <w:color w:val="000000"/>
                <w:szCs w:val="22"/>
              </w:rPr>
              <w:t xml:space="preserve"> de gros volume (20 m</w:t>
            </w:r>
            <w:r w:rsidRPr="00174C5D">
              <w:rPr>
                <w:rFonts w:ascii="Times New Roman" w:hAnsi="Times New Roman"/>
                <w:color w:val="000000"/>
                <w:szCs w:val="22"/>
                <w:vertAlign w:val="superscript"/>
              </w:rPr>
              <w:t>3</w:t>
            </w:r>
            <w:r w:rsidRPr="00174C5D">
              <w:rPr>
                <w:rFonts w:ascii="Times New Roman" w:hAnsi="Times New Roman"/>
                <w:color w:val="000000"/>
                <w:szCs w:val="22"/>
              </w:rPr>
              <w:t xml:space="preserve"> ou plus) construits ou installés par des clients commerciaux ou institutionnels ciblés (abattoirs, centres médicaux et centres de formation professionnelle).</w:t>
            </w:r>
          </w:p>
        </w:tc>
        <w:tc>
          <w:tcPr>
            <w:tcW w:w="2421"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color w:val="000000"/>
                <w:szCs w:val="22"/>
              </w:rPr>
              <w:t xml:space="preserve">Jusqu'à 10 </w:t>
            </w:r>
            <w:r w:rsidR="007562CF" w:rsidRPr="00174C5D">
              <w:rPr>
                <w:rFonts w:ascii="Times New Roman" w:hAnsi="Times New Roman"/>
                <w:color w:val="000000"/>
                <w:szCs w:val="22"/>
              </w:rPr>
              <w:t>bios digesteurs</w:t>
            </w:r>
            <w:r w:rsidRPr="00174C5D">
              <w:rPr>
                <w:rFonts w:ascii="Times New Roman" w:hAnsi="Times New Roman"/>
                <w:color w:val="000000"/>
                <w:szCs w:val="22"/>
              </w:rPr>
              <w:t xml:space="preserve"> de gros volume (20 m</w:t>
            </w:r>
            <w:r w:rsidRPr="00174C5D">
              <w:rPr>
                <w:rFonts w:ascii="Times New Roman" w:hAnsi="Times New Roman"/>
                <w:color w:val="000000"/>
                <w:szCs w:val="22"/>
                <w:vertAlign w:val="superscript"/>
              </w:rPr>
              <w:t>3</w:t>
            </w:r>
            <w:r w:rsidRPr="00174C5D">
              <w:rPr>
                <w:rFonts w:ascii="Times New Roman" w:hAnsi="Times New Roman"/>
                <w:color w:val="000000"/>
                <w:szCs w:val="22"/>
              </w:rPr>
              <w:t xml:space="preserve"> ou plus) installés.</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Aucun n'est mis en œuvre à ce jour.</w:t>
            </w:r>
          </w:p>
        </w:tc>
        <w:tc>
          <w:tcPr>
            <w:tcW w:w="2749"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À réaliser d'ici la fin du projet, comme suit :</w:t>
            </w: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An 2 : 5 installations</w:t>
            </w: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t>An 3 : 5 installations</w:t>
            </w:r>
          </w:p>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p>
        </w:tc>
        <w:tc>
          <w:tcPr>
            <w:tcW w:w="2179"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Visites de site et rapports de projet.</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Soutien du cadre institutionnel, juridique et réglementaire.</w:t>
            </w:r>
          </w:p>
        </w:tc>
      </w:tr>
      <w:tr w:rsidR="00205323" w:rsidRPr="00174C5D" w:rsidTr="00205323">
        <w:trPr>
          <w:trHeight w:val="559"/>
          <w:jc w:val="center"/>
        </w:trPr>
        <w:tc>
          <w:tcPr>
            <w:tcW w:w="2875" w:type="dxa"/>
          </w:tcPr>
          <w:p w:rsidR="00205323" w:rsidRPr="004F2CBA" w:rsidRDefault="00205323" w:rsidP="00C026AC">
            <w:pPr>
              <w:tabs>
                <w:tab w:val="left" w:pos="355"/>
              </w:tabs>
              <w:autoSpaceDE w:val="0"/>
              <w:autoSpaceDN w:val="0"/>
              <w:adjustRightInd w:val="0"/>
              <w:jc w:val="left"/>
              <w:rPr>
                <w:rFonts w:ascii="Times New Roman" w:hAnsi="Times New Roman"/>
                <w:b/>
                <w:color w:val="000000"/>
                <w:szCs w:val="22"/>
                <w:lang w:val="es-ES_tradnl"/>
              </w:rPr>
            </w:pPr>
            <w:r w:rsidRPr="00174C5D">
              <w:rPr>
                <w:rFonts w:ascii="Times New Roman" w:hAnsi="Times New Roman"/>
                <w:b/>
                <w:bCs/>
                <w:color w:val="000000"/>
                <w:szCs w:val="22"/>
              </w:rPr>
              <w:t xml:space="preserve">Résultat 2.6 : </w:t>
            </w:r>
            <w:r w:rsidRPr="00174C5D">
              <w:rPr>
                <w:rFonts w:ascii="Times New Roman" w:hAnsi="Times New Roman"/>
                <w:color w:val="000000"/>
                <w:szCs w:val="22"/>
              </w:rPr>
              <w:t xml:space="preserve">Indicateurs spécifiques développés pour le suivi et l'évaluation des impacts du projet sur le volume du bois de chauffage/charbon et du carburant diesel, supplantés par la production et la consommation de biogaz, le volume des GES évités résultant de l'usage accru de </w:t>
            </w:r>
            <w:r w:rsidRPr="00174C5D">
              <w:rPr>
                <w:rFonts w:ascii="Times New Roman" w:hAnsi="Times New Roman"/>
                <w:color w:val="000000"/>
                <w:szCs w:val="22"/>
              </w:rPr>
              <w:lastRenderedPageBreak/>
              <w:t>la bouse de vache, des déchets de cuisine, etc. pour la production de biogaz et les opportunités de création d'emplois dans le secteur du biogaz.</w:t>
            </w:r>
          </w:p>
        </w:tc>
        <w:tc>
          <w:tcPr>
            <w:tcW w:w="2421" w:type="dxa"/>
          </w:tcPr>
          <w:p w:rsidR="00205323" w:rsidRPr="00174C5D" w:rsidRDefault="00205323" w:rsidP="00C026AC">
            <w:pPr>
              <w:tabs>
                <w:tab w:val="left" w:pos="355"/>
              </w:tabs>
              <w:autoSpaceDE w:val="0"/>
              <w:autoSpaceDN w:val="0"/>
              <w:adjustRightInd w:val="0"/>
              <w:jc w:val="left"/>
              <w:rPr>
                <w:rFonts w:ascii="Times New Roman" w:hAnsi="Times New Roman"/>
                <w:szCs w:val="22"/>
                <w:lang w:val="en-GB"/>
              </w:rPr>
            </w:pPr>
            <w:r w:rsidRPr="00174C5D">
              <w:rPr>
                <w:rFonts w:ascii="Times New Roman" w:hAnsi="Times New Roman"/>
                <w:szCs w:val="22"/>
              </w:rPr>
              <w:lastRenderedPageBreak/>
              <w:t>Indicateurs d'impact disponibles.</w:t>
            </w:r>
          </w:p>
        </w:tc>
        <w:tc>
          <w:tcPr>
            <w:tcW w:w="2070" w:type="dxa"/>
          </w:tcPr>
          <w:p w:rsidR="00205323" w:rsidRPr="00865A23" w:rsidRDefault="00205323" w:rsidP="00C026AC">
            <w:pPr>
              <w:tabs>
                <w:tab w:val="left" w:pos="355"/>
              </w:tabs>
              <w:autoSpaceDE w:val="0"/>
              <w:autoSpaceDN w:val="0"/>
              <w:adjustRightInd w:val="0"/>
              <w:jc w:val="left"/>
              <w:rPr>
                <w:rFonts w:ascii="Times New Roman" w:hAnsi="Times New Roman"/>
                <w:szCs w:val="22"/>
              </w:rPr>
            </w:pPr>
            <w:r w:rsidRPr="00174C5D">
              <w:rPr>
                <w:rFonts w:ascii="Times New Roman" w:hAnsi="Times New Roman"/>
                <w:szCs w:val="22"/>
              </w:rPr>
              <w:t>Rien n'est disponible à l'heure actuelle.</w:t>
            </w:r>
          </w:p>
        </w:tc>
        <w:tc>
          <w:tcPr>
            <w:tcW w:w="2749" w:type="dxa"/>
          </w:tcPr>
          <w:p w:rsidR="00205323" w:rsidRPr="004F2CBA" w:rsidRDefault="00205323" w:rsidP="00C026AC">
            <w:pPr>
              <w:tabs>
                <w:tab w:val="left" w:pos="355"/>
              </w:tabs>
              <w:autoSpaceDE w:val="0"/>
              <w:autoSpaceDN w:val="0"/>
              <w:adjustRightInd w:val="0"/>
              <w:jc w:val="left"/>
              <w:rPr>
                <w:rFonts w:ascii="Times New Roman" w:hAnsi="Times New Roman"/>
                <w:szCs w:val="22"/>
                <w:lang w:val="es-ES_tradnl"/>
              </w:rPr>
            </w:pPr>
            <w:r w:rsidRPr="00174C5D">
              <w:rPr>
                <w:rFonts w:ascii="Times New Roman" w:hAnsi="Times New Roman"/>
                <w:szCs w:val="22"/>
              </w:rPr>
              <w:t>À réaliser d'ici l'An 1 de la mise en œuvre du projet.</w:t>
            </w:r>
          </w:p>
        </w:tc>
        <w:tc>
          <w:tcPr>
            <w:tcW w:w="2179" w:type="dxa"/>
          </w:tcPr>
          <w:p w:rsidR="00205323" w:rsidRPr="00174C5D" w:rsidRDefault="00205323" w:rsidP="00C026AC">
            <w:pPr>
              <w:tabs>
                <w:tab w:val="left" w:pos="355"/>
              </w:tabs>
              <w:autoSpaceDE w:val="0"/>
              <w:autoSpaceDN w:val="0"/>
              <w:adjustRightInd w:val="0"/>
              <w:jc w:val="left"/>
              <w:rPr>
                <w:rFonts w:ascii="Times New Roman" w:hAnsi="Times New Roman"/>
                <w:color w:val="000000"/>
                <w:szCs w:val="22"/>
                <w:lang w:val="en-GB"/>
              </w:rPr>
            </w:pPr>
            <w:r w:rsidRPr="00174C5D">
              <w:rPr>
                <w:rFonts w:ascii="Times New Roman" w:hAnsi="Times New Roman"/>
                <w:color w:val="000000"/>
                <w:szCs w:val="22"/>
              </w:rPr>
              <w:t>Documentation du projet.</w:t>
            </w:r>
          </w:p>
        </w:tc>
        <w:tc>
          <w:tcPr>
            <w:tcW w:w="2502" w:type="dxa"/>
          </w:tcPr>
          <w:p w:rsidR="00205323" w:rsidRPr="00865A23" w:rsidRDefault="00205323" w:rsidP="00C026AC">
            <w:pPr>
              <w:tabs>
                <w:tab w:val="left" w:pos="355"/>
              </w:tabs>
              <w:autoSpaceDE w:val="0"/>
              <w:autoSpaceDN w:val="0"/>
              <w:adjustRightInd w:val="0"/>
              <w:jc w:val="left"/>
              <w:rPr>
                <w:rFonts w:ascii="Times New Roman" w:hAnsi="Times New Roman"/>
                <w:color w:val="000000"/>
                <w:szCs w:val="22"/>
              </w:rPr>
            </w:pPr>
            <w:r w:rsidRPr="00174C5D">
              <w:rPr>
                <w:rFonts w:ascii="Times New Roman" w:hAnsi="Times New Roman"/>
                <w:color w:val="000000"/>
                <w:szCs w:val="22"/>
              </w:rPr>
              <w:t>Intérêt constant pour le programme du biogaz.</w:t>
            </w:r>
          </w:p>
        </w:tc>
      </w:tr>
      <w:tr w:rsidR="00205323" w:rsidRPr="00174C5D" w:rsidTr="00205323">
        <w:trPr>
          <w:trHeight w:val="1070"/>
          <w:jc w:val="center"/>
        </w:trPr>
        <w:tc>
          <w:tcPr>
            <w:tcW w:w="2875" w:type="dxa"/>
          </w:tcPr>
          <w:p w:rsidR="00205323" w:rsidRPr="004F2CBA" w:rsidRDefault="00205323" w:rsidP="00C026AC">
            <w:pPr>
              <w:jc w:val="left"/>
              <w:rPr>
                <w:rFonts w:ascii="Times New Roman" w:hAnsi="Times New Roman"/>
                <w:b/>
                <w:color w:val="FF0000"/>
                <w:szCs w:val="22"/>
              </w:rPr>
            </w:pPr>
            <w:r w:rsidRPr="00174C5D">
              <w:rPr>
                <w:rFonts w:ascii="Times New Roman" w:hAnsi="Times New Roman"/>
                <w:b/>
                <w:bCs/>
                <w:color w:val="000000"/>
                <w:szCs w:val="22"/>
              </w:rPr>
              <w:lastRenderedPageBreak/>
              <w:t xml:space="preserve">Résultat 3 : </w:t>
            </w:r>
            <w:r w:rsidRPr="00174C5D">
              <w:rPr>
                <w:rFonts w:ascii="Times New Roman" w:hAnsi="Times New Roman"/>
                <w:color w:val="000000"/>
                <w:szCs w:val="22"/>
              </w:rPr>
              <w:t>Le p</w:t>
            </w:r>
            <w:r w:rsidRPr="00174C5D">
              <w:rPr>
                <w:rFonts w:ascii="Times New Roman" w:hAnsi="Times New Roman"/>
                <w:szCs w:val="22"/>
              </w:rPr>
              <w:t>rogramme apporte son soutien à un marché croissant de fournisseurs et d'utilisateurs du biogaz et de ses effluents, conduisant à une amélioration globale des moyens d'existence.</w:t>
            </w:r>
          </w:p>
        </w:tc>
        <w:tc>
          <w:tcPr>
            <w:tcW w:w="2421" w:type="dxa"/>
          </w:tcPr>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Sensibilisation au biogaz et à ses possibilités</w:t>
            </w:r>
          </w:p>
          <w:p w:rsidR="00205323" w:rsidRPr="00865A23" w:rsidRDefault="00205323" w:rsidP="00C026AC">
            <w:pPr>
              <w:jc w:val="left"/>
              <w:rPr>
                <w:rFonts w:ascii="Times New Roman" w:hAnsi="Times New Roman"/>
                <w:color w:val="000000"/>
                <w:szCs w:val="22"/>
              </w:rPr>
            </w:pPr>
          </w:p>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Capacité existante pour des services d'installation et d'entretien</w:t>
            </w:r>
          </w:p>
        </w:tc>
        <w:tc>
          <w:tcPr>
            <w:tcW w:w="2070"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Aucun programme de ce type n’existe.</w:t>
            </w:r>
            <w:r w:rsidR="0076445A">
              <w:rPr>
                <w:rFonts w:ascii="Times New Roman" w:hAnsi="Times New Roman"/>
                <w:szCs w:val="22"/>
              </w:rPr>
              <w:t xml:space="preserve"> </w:t>
            </w:r>
          </w:p>
        </w:tc>
        <w:tc>
          <w:tcPr>
            <w:tcW w:w="2749" w:type="dxa"/>
          </w:tcPr>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Sensibilisation et capacités accrues des parties prenantes en place afin d'assurer la promotion, le développement du marché et l'utilisation du biogaz.</w:t>
            </w:r>
          </w:p>
        </w:tc>
        <w:tc>
          <w:tcPr>
            <w:tcW w:w="2179" w:type="dxa"/>
          </w:tcPr>
          <w:p w:rsidR="00205323" w:rsidRPr="00174C5D" w:rsidRDefault="00205323" w:rsidP="00C026AC">
            <w:pPr>
              <w:jc w:val="left"/>
              <w:rPr>
                <w:rFonts w:ascii="Times New Roman" w:hAnsi="Times New Roman"/>
                <w:szCs w:val="22"/>
                <w:lang w:val="en-GB"/>
              </w:rPr>
            </w:pPr>
            <w:r w:rsidRPr="00174C5D">
              <w:rPr>
                <w:rFonts w:ascii="Times New Roman" w:hAnsi="Times New Roman"/>
                <w:color w:val="000000"/>
                <w:szCs w:val="22"/>
              </w:rPr>
              <w:t>Documentation du projet</w:t>
            </w:r>
          </w:p>
        </w:tc>
        <w:tc>
          <w:tcPr>
            <w:tcW w:w="2502" w:type="dxa"/>
          </w:tcPr>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La croissance du programme sera maintenue.</w:t>
            </w:r>
          </w:p>
        </w:tc>
      </w:tr>
      <w:tr w:rsidR="00205323" w:rsidRPr="00174C5D" w:rsidTr="00205323">
        <w:trPr>
          <w:trHeight w:val="1070"/>
          <w:jc w:val="center"/>
        </w:trPr>
        <w:tc>
          <w:tcPr>
            <w:tcW w:w="2875" w:type="dxa"/>
          </w:tcPr>
          <w:p w:rsidR="00205323" w:rsidRPr="004F2CBA" w:rsidRDefault="00205323" w:rsidP="00C026AC">
            <w:pPr>
              <w:jc w:val="left"/>
              <w:rPr>
                <w:rFonts w:ascii="Times New Roman" w:hAnsi="Times New Roman"/>
                <w:b/>
                <w:color w:val="000000"/>
                <w:szCs w:val="22"/>
              </w:rPr>
            </w:pPr>
            <w:r w:rsidRPr="00174C5D">
              <w:rPr>
                <w:rFonts w:ascii="Times New Roman" w:hAnsi="Times New Roman"/>
                <w:b/>
                <w:bCs/>
                <w:szCs w:val="22"/>
              </w:rPr>
              <w:t>Produit 3.1 :</w:t>
            </w:r>
            <w:r w:rsidRPr="00174C5D">
              <w:rPr>
                <w:rFonts w:ascii="Times New Roman" w:hAnsi="Times New Roman"/>
                <w:szCs w:val="22"/>
              </w:rPr>
              <w:t xml:space="preserve"> Mise en place d'une capacité des IMF/établissements de crédit en vue de l’offre de crédits aux consommateurs (fermiers)/propriétaires de digesteurs domestiques et d'unités de plus gros volume.</w:t>
            </w:r>
          </w:p>
        </w:tc>
        <w:tc>
          <w:tcPr>
            <w:tcW w:w="2421" w:type="dxa"/>
          </w:tcPr>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Existence de programmes de formation au prêt en matière de biogaz.</w:t>
            </w:r>
          </w:p>
        </w:tc>
        <w:tc>
          <w:tcPr>
            <w:tcW w:w="2070"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 xml:space="preserve">Absence de programme de formation pour les IMF et les établissements de crédit. </w:t>
            </w:r>
          </w:p>
        </w:tc>
        <w:tc>
          <w:tcPr>
            <w:tcW w:w="2749"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Capacité renforcée de 3 à 4 IMF et établissements de crédit dans les 12 mois du lancement du projet.</w:t>
            </w:r>
          </w:p>
        </w:tc>
        <w:tc>
          <w:tcPr>
            <w:tcW w:w="2179" w:type="dxa"/>
          </w:tcPr>
          <w:p w:rsidR="00205323" w:rsidRPr="00174C5D" w:rsidRDefault="00205323" w:rsidP="00C026AC">
            <w:pPr>
              <w:jc w:val="left"/>
              <w:rPr>
                <w:rFonts w:ascii="Times New Roman" w:hAnsi="Times New Roman"/>
                <w:szCs w:val="22"/>
                <w:lang w:val="en-GB"/>
              </w:rPr>
            </w:pPr>
            <w:r w:rsidRPr="00174C5D">
              <w:rPr>
                <w:rFonts w:ascii="Times New Roman" w:hAnsi="Times New Roman"/>
                <w:szCs w:val="22"/>
              </w:rPr>
              <w:t>Documentation du projet.</w:t>
            </w:r>
          </w:p>
        </w:tc>
        <w:tc>
          <w:tcPr>
            <w:tcW w:w="2502" w:type="dxa"/>
          </w:tcPr>
          <w:p w:rsidR="00205323" w:rsidRPr="004F2CBA" w:rsidRDefault="00205323" w:rsidP="00C026AC">
            <w:pPr>
              <w:jc w:val="left"/>
              <w:rPr>
                <w:rFonts w:ascii="Times New Roman" w:hAnsi="Times New Roman"/>
                <w:color w:val="000000"/>
                <w:szCs w:val="22"/>
                <w:lang w:val="es-ES_tradnl"/>
              </w:rPr>
            </w:pPr>
            <w:r w:rsidRPr="00174C5D">
              <w:rPr>
                <w:rFonts w:ascii="Times New Roman" w:hAnsi="Times New Roman"/>
                <w:color w:val="000000"/>
                <w:szCs w:val="22"/>
              </w:rPr>
              <w:t>Intérêt et volonté des IMF et des établissements de crédit en ce qui concerne la participation.</w:t>
            </w:r>
          </w:p>
        </w:tc>
      </w:tr>
      <w:tr w:rsidR="00205323" w:rsidRPr="00174C5D" w:rsidTr="00205323">
        <w:trPr>
          <w:trHeight w:val="1070"/>
          <w:jc w:val="center"/>
        </w:trPr>
        <w:tc>
          <w:tcPr>
            <w:tcW w:w="2875" w:type="dxa"/>
          </w:tcPr>
          <w:p w:rsidR="00205323" w:rsidRPr="004F2CBA" w:rsidRDefault="00205323" w:rsidP="00C026AC">
            <w:pPr>
              <w:jc w:val="left"/>
              <w:rPr>
                <w:rFonts w:ascii="Times New Roman" w:hAnsi="Times New Roman"/>
                <w:b/>
                <w:szCs w:val="22"/>
              </w:rPr>
            </w:pPr>
            <w:r w:rsidRPr="00174C5D">
              <w:rPr>
                <w:rFonts w:ascii="Times New Roman" w:hAnsi="Times New Roman"/>
                <w:b/>
                <w:bCs/>
                <w:color w:val="000000"/>
                <w:szCs w:val="22"/>
              </w:rPr>
              <w:t xml:space="preserve">Produit 3.2 : </w:t>
            </w:r>
            <w:r w:rsidRPr="00174C5D">
              <w:rPr>
                <w:rFonts w:ascii="Times New Roman" w:hAnsi="Times New Roman"/>
                <w:szCs w:val="22"/>
              </w:rPr>
              <w:t xml:space="preserve">Modules de formation conçus pour les bénéficiaires clés (constructeurs de biodigesteur, producteurs de composants et techniciens de dépannage), y compris une qualification et la mise en place de programmes complets de formation. </w:t>
            </w:r>
          </w:p>
        </w:tc>
        <w:tc>
          <w:tcPr>
            <w:tcW w:w="2421" w:type="dxa"/>
          </w:tcPr>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 xml:space="preserve">Existence de modules de formation pour la construction et l'entretien du biogaz. </w:t>
            </w:r>
          </w:p>
          <w:p w:rsidR="00205323" w:rsidRPr="004F2CBA" w:rsidRDefault="00205323" w:rsidP="00C026AC">
            <w:pPr>
              <w:jc w:val="left"/>
              <w:rPr>
                <w:rFonts w:ascii="Times New Roman" w:hAnsi="Times New Roman"/>
                <w:szCs w:val="22"/>
                <w:lang w:val="es-ES_tradnl"/>
              </w:rPr>
            </w:pPr>
          </w:p>
        </w:tc>
        <w:tc>
          <w:tcPr>
            <w:tcW w:w="2070"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De tels modules de formation ne sont pas actuellement proposés.</w:t>
            </w:r>
          </w:p>
        </w:tc>
        <w:tc>
          <w:tcPr>
            <w:tcW w:w="2749"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20 bénéficiaires formés dans les 12 premiers mois du début du projet.</w:t>
            </w:r>
          </w:p>
        </w:tc>
        <w:tc>
          <w:tcPr>
            <w:tcW w:w="2179" w:type="dxa"/>
          </w:tcPr>
          <w:p w:rsidR="00205323" w:rsidRPr="00174C5D" w:rsidRDefault="00205323" w:rsidP="00C026AC">
            <w:pPr>
              <w:jc w:val="left"/>
              <w:rPr>
                <w:rFonts w:ascii="Times New Roman" w:hAnsi="Times New Roman"/>
                <w:szCs w:val="22"/>
                <w:lang w:val="en-GB"/>
              </w:rPr>
            </w:pPr>
            <w:r w:rsidRPr="00174C5D">
              <w:rPr>
                <w:rFonts w:ascii="Times New Roman" w:hAnsi="Times New Roman"/>
                <w:szCs w:val="22"/>
              </w:rPr>
              <w:t>Rapports de projet.</w:t>
            </w:r>
          </w:p>
        </w:tc>
        <w:tc>
          <w:tcPr>
            <w:tcW w:w="2502" w:type="dxa"/>
          </w:tcPr>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 xml:space="preserve">Intérêt constant des parties prenantes. </w:t>
            </w:r>
          </w:p>
        </w:tc>
      </w:tr>
      <w:tr w:rsidR="00205323" w:rsidRPr="00174C5D" w:rsidTr="00205323">
        <w:trPr>
          <w:trHeight w:val="1070"/>
          <w:jc w:val="center"/>
        </w:trPr>
        <w:tc>
          <w:tcPr>
            <w:tcW w:w="2875" w:type="dxa"/>
          </w:tcPr>
          <w:p w:rsidR="00205323" w:rsidRPr="004F2CBA" w:rsidRDefault="00205323" w:rsidP="00C026AC">
            <w:pPr>
              <w:jc w:val="left"/>
              <w:rPr>
                <w:rFonts w:ascii="Times New Roman" w:hAnsi="Times New Roman"/>
                <w:b/>
                <w:szCs w:val="22"/>
              </w:rPr>
            </w:pPr>
            <w:r w:rsidRPr="00174C5D">
              <w:rPr>
                <w:rFonts w:ascii="Times New Roman" w:hAnsi="Times New Roman"/>
                <w:b/>
                <w:bCs/>
                <w:szCs w:val="22"/>
              </w:rPr>
              <w:lastRenderedPageBreak/>
              <w:t xml:space="preserve">Produit 3.3 : </w:t>
            </w:r>
            <w:r w:rsidRPr="00174C5D">
              <w:rPr>
                <w:rFonts w:ascii="Times New Roman" w:hAnsi="Times New Roman"/>
                <w:szCs w:val="22"/>
              </w:rPr>
              <w:t xml:space="preserve">Capacité développée des ménages agricoles, établissements institutionnels, commerciaux et industriels en matière d'exploitation et d'entretien de leurs digesteurs à biogaz et de transformation du lisier d'un </w:t>
            </w:r>
            <w:r w:rsidR="007562CF" w:rsidRPr="00174C5D">
              <w:rPr>
                <w:rFonts w:ascii="Times New Roman" w:hAnsi="Times New Roman"/>
                <w:szCs w:val="22"/>
              </w:rPr>
              <w:t>bio digesteur</w:t>
            </w:r>
            <w:r w:rsidRPr="00174C5D">
              <w:rPr>
                <w:rFonts w:ascii="Times New Roman" w:hAnsi="Times New Roman"/>
                <w:szCs w:val="22"/>
              </w:rPr>
              <w:t xml:space="preserve"> en produits de valeur. </w:t>
            </w:r>
          </w:p>
        </w:tc>
        <w:tc>
          <w:tcPr>
            <w:tcW w:w="2421" w:type="dxa"/>
          </w:tcPr>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 xml:space="preserve">Existence de programmes de formation pour l'utilisation du biogaz et du lisier. </w:t>
            </w:r>
          </w:p>
          <w:p w:rsidR="00205323" w:rsidRPr="004F2CBA" w:rsidRDefault="00205323" w:rsidP="00C026AC">
            <w:pPr>
              <w:jc w:val="left"/>
              <w:rPr>
                <w:rFonts w:ascii="Times New Roman" w:hAnsi="Times New Roman"/>
                <w:szCs w:val="22"/>
                <w:lang w:val="es-ES_tradnl"/>
              </w:rPr>
            </w:pPr>
          </w:p>
        </w:tc>
        <w:tc>
          <w:tcPr>
            <w:tcW w:w="2070" w:type="dxa"/>
          </w:tcPr>
          <w:p w:rsidR="00205323" w:rsidRPr="00174C5D" w:rsidRDefault="00205323" w:rsidP="00C026AC">
            <w:pPr>
              <w:jc w:val="left"/>
              <w:rPr>
                <w:rFonts w:ascii="Times New Roman" w:hAnsi="Times New Roman"/>
                <w:szCs w:val="22"/>
                <w:lang w:val="en-GB"/>
              </w:rPr>
            </w:pPr>
            <w:r w:rsidRPr="00174C5D">
              <w:rPr>
                <w:rFonts w:ascii="Times New Roman" w:hAnsi="Times New Roman"/>
                <w:szCs w:val="22"/>
              </w:rPr>
              <w:t>Pas de disponibilité actuellement.</w:t>
            </w:r>
          </w:p>
        </w:tc>
        <w:tc>
          <w:tcPr>
            <w:tcW w:w="2749"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50 ménages formés dans les 12 premiers mois suivant le début du projet.</w:t>
            </w:r>
          </w:p>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Le programme de formation cible au minimum 1 200 ménages d'ici la fin du projet.</w:t>
            </w:r>
          </w:p>
        </w:tc>
        <w:tc>
          <w:tcPr>
            <w:tcW w:w="2179" w:type="dxa"/>
          </w:tcPr>
          <w:p w:rsidR="00205323" w:rsidRPr="00174C5D" w:rsidRDefault="00205323" w:rsidP="00C026AC">
            <w:pPr>
              <w:jc w:val="left"/>
              <w:rPr>
                <w:rFonts w:ascii="Times New Roman" w:hAnsi="Times New Roman"/>
                <w:szCs w:val="22"/>
                <w:lang w:val="en-GB"/>
              </w:rPr>
            </w:pPr>
            <w:r w:rsidRPr="00174C5D">
              <w:rPr>
                <w:rFonts w:ascii="Times New Roman" w:hAnsi="Times New Roman"/>
                <w:szCs w:val="22"/>
              </w:rPr>
              <w:t>Documentation du projet.</w:t>
            </w:r>
          </w:p>
        </w:tc>
        <w:tc>
          <w:tcPr>
            <w:tcW w:w="2502" w:type="dxa"/>
          </w:tcPr>
          <w:p w:rsidR="00205323" w:rsidRPr="00865A23" w:rsidRDefault="00205323" w:rsidP="00C026AC">
            <w:pPr>
              <w:jc w:val="left"/>
              <w:rPr>
                <w:rFonts w:ascii="Times New Roman" w:hAnsi="Times New Roman"/>
                <w:color w:val="000000"/>
                <w:szCs w:val="22"/>
              </w:rPr>
            </w:pPr>
            <w:r w:rsidRPr="00174C5D">
              <w:rPr>
                <w:rFonts w:ascii="Times New Roman" w:hAnsi="Times New Roman"/>
                <w:color w:val="000000"/>
                <w:szCs w:val="22"/>
              </w:rPr>
              <w:t>Intérêt constant des ménages agricoles.</w:t>
            </w:r>
          </w:p>
        </w:tc>
      </w:tr>
      <w:tr w:rsidR="00205323" w:rsidRPr="00174C5D" w:rsidTr="00205323">
        <w:trPr>
          <w:trHeight w:val="1070"/>
          <w:jc w:val="center"/>
        </w:trPr>
        <w:tc>
          <w:tcPr>
            <w:tcW w:w="2875" w:type="dxa"/>
          </w:tcPr>
          <w:p w:rsidR="00205323" w:rsidRPr="004F2CBA" w:rsidRDefault="00205323" w:rsidP="00C026AC">
            <w:pPr>
              <w:jc w:val="left"/>
              <w:rPr>
                <w:rFonts w:ascii="Times New Roman" w:hAnsi="Times New Roman"/>
                <w:b/>
                <w:color w:val="000000"/>
                <w:szCs w:val="22"/>
                <w:lang w:val="es-ES_tradnl"/>
              </w:rPr>
            </w:pPr>
            <w:r w:rsidRPr="00174C5D">
              <w:rPr>
                <w:rFonts w:ascii="Times New Roman" w:hAnsi="Times New Roman"/>
                <w:b/>
                <w:bCs/>
                <w:szCs w:val="22"/>
              </w:rPr>
              <w:t>Résultat 3.4 :</w:t>
            </w:r>
            <w:r w:rsidRPr="00174C5D">
              <w:rPr>
                <w:rFonts w:ascii="Times New Roman" w:hAnsi="Times New Roman"/>
                <w:szCs w:val="22"/>
              </w:rPr>
              <w:t xml:space="preserve"> Acteurs clés de la chaîne de valeur sensibilisés grâce à des campagnes publiques de sensibilisation portant sur la valeur du biogaz et de ses applications.</w:t>
            </w:r>
          </w:p>
        </w:tc>
        <w:tc>
          <w:tcPr>
            <w:tcW w:w="2421" w:type="dxa"/>
          </w:tcPr>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Disponibilité des campagnes publiques de sensibilisation visant à accroître l'utilisation de biogaz.</w:t>
            </w:r>
          </w:p>
        </w:tc>
        <w:tc>
          <w:tcPr>
            <w:tcW w:w="2070" w:type="dxa"/>
          </w:tcPr>
          <w:p w:rsidR="00205323" w:rsidRPr="004F2CBA" w:rsidRDefault="00205323" w:rsidP="00C026AC">
            <w:pPr>
              <w:jc w:val="left"/>
              <w:rPr>
                <w:rFonts w:ascii="Times New Roman" w:hAnsi="Times New Roman"/>
                <w:szCs w:val="22"/>
                <w:lang w:val="es-ES_tradnl"/>
              </w:rPr>
            </w:pPr>
            <w:r w:rsidRPr="00174C5D">
              <w:rPr>
                <w:rFonts w:ascii="Times New Roman" w:hAnsi="Times New Roman"/>
                <w:szCs w:val="22"/>
              </w:rPr>
              <w:t>Un tel plan n'est pas disponible.</w:t>
            </w:r>
          </w:p>
        </w:tc>
        <w:tc>
          <w:tcPr>
            <w:tcW w:w="2749" w:type="dxa"/>
          </w:tcPr>
          <w:p w:rsidR="00205323" w:rsidRPr="00865A23" w:rsidRDefault="00205323" w:rsidP="00C026AC">
            <w:pPr>
              <w:jc w:val="left"/>
              <w:rPr>
                <w:rFonts w:ascii="Times New Roman" w:hAnsi="Times New Roman"/>
                <w:szCs w:val="22"/>
              </w:rPr>
            </w:pPr>
            <w:r w:rsidRPr="00174C5D">
              <w:rPr>
                <w:rFonts w:ascii="Times New Roman" w:hAnsi="Times New Roman"/>
                <w:szCs w:val="22"/>
              </w:rPr>
              <w:t>À effectuer dans les 18 mois du lancement du projet.</w:t>
            </w:r>
          </w:p>
        </w:tc>
        <w:tc>
          <w:tcPr>
            <w:tcW w:w="2179" w:type="dxa"/>
          </w:tcPr>
          <w:p w:rsidR="00205323" w:rsidRPr="00174C5D" w:rsidRDefault="00205323" w:rsidP="00C026AC">
            <w:pPr>
              <w:jc w:val="left"/>
              <w:rPr>
                <w:rFonts w:ascii="Times New Roman" w:hAnsi="Times New Roman"/>
                <w:szCs w:val="22"/>
                <w:lang w:val="en-GB"/>
              </w:rPr>
            </w:pPr>
            <w:r w:rsidRPr="00174C5D">
              <w:rPr>
                <w:rFonts w:ascii="Times New Roman" w:hAnsi="Times New Roman"/>
                <w:szCs w:val="22"/>
              </w:rPr>
              <w:t>Documentation du projet.</w:t>
            </w:r>
          </w:p>
        </w:tc>
        <w:tc>
          <w:tcPr>
            <w:tcW w:w="2502" w:type="dxa"/>
          </w:tcPr>
          <w:p w:rsidR="00205323" w:rsidRPr="00174C5D" w:rsidRDefault="00205323" w:rsidP="00C026AC">
            <w:pPr>
              <w:jc w:val="left"/>
              <w:rPr>
                <w:rFonts w:ascii="Times New Roman" w:hAnsi="Times New Roman"/>
                <w:color w:val="000000"/>
                <w:szCs w:val="22"/>
                <w:lang w:val="en-GB"/>
              </w:rPr>
            </w:pPr>
            <w:r w:rsidRPr="00174C5D">
              <w:rPr>
                <w:rFonts w:ascii="Times New Roman" w:hAnsi="Times New Roman"/>
                <w:color w:val="000000"/>
                <w:szCs w:val="22"/>
              </w:rPr>
              <w:t>Expansion attendue du programme.</w:t>
            </w:r>
          </w:p>
        </w:tc>
      </w:tr>
    </w:tbl>
    <w:p w:rsidR="00205323" w:rsidRPr="00174C5D" w:rsidRDefault="00205323" w:rsidP="00C026AC">
      <w:pPr>
        <w:spacing w:after="200"/>
        <w:jc w:val="left"/>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174C5D" w:rsidRDefault="00205323" w:rsidP="00205323">
      <w:pPr>
        <w:spacing w:after="200"/>
        <w:rPr>
          <w:rFonts w:ascii="Times New Roman" w:hAnsi="Times New Roman"/>
          <w:szCs w:val="22"/>
          <w:lang w:val="en-GB"/>
        </w:rPr>
      </w:pPr>
    </w:p>
    <w:p w:rsidR="00205323" w:rsidRPr="00865A23" w:rsidRDefault="00205323" w:rsidP="0001740A">
      <w:pPr>
        <w:pStyle w:val="Titre2"/>
        <w:ind w:hanging="1170"/>
        <w:rPr>
          <w:i w:val="0"/>
          <w:lang w:eastAsia="en-US"/>
        </w:rPr>
      </w:pPr>
      <w:bookmarkStart w:id="62" w:name="_Toc285354094"/>
      <w:bookmarkStart w:id="63" w:name="_Toc340830983"/>
      <w:bookmarkStart w:id="64" w:name="_Toc262924496"/>
      <w:bookmarkStart w:id="65" w:name="_Toc418144253"/>
      <w:bookmarkStart w:id="66" w:name="_Toc298586302"/>
      <w:r w:rsidRPr="00865A23">
        <w:rPr>
          <w:i w:val="0"/>
          <w:lang w:eastAsia="en-US"/>
        </w:rPr>
        <w:lastRenderedPageBreak/>
        <w:t>Budget total et Plan de travail</w:t>
      </w:r>
      <w:bookmarkEnd w:id="62"/>
      <w:bookmarkEnd w:id="63"/>
      <w:bookmarkEnd w:id="64"/>
      <w:bookmarkEnd w:id="65"/>
      <w:bookmarkEnd w:id="66"/>
    </w:p>
    <w:tbl>
      <w:tblPr>
        <w:tblW w:w="142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137"/>
        <w:gridCol w:w="2713"/>
        <w:gridCol w:w="5557"/>
      </w:tblGrid>
      <w:tr w:rsidR="00205323" w:rsidRPr="00174C5D" w:rsidTr="00C026AC">
        <w:trPr>
          <w:cantSplit/>
        </w:trPr>
        <w:tc>
          <w:tcPr>
            <w:tcW w:w="2880" w:type="dxa"/>
            <w:noWrap/>
            <w:vAlign w:val="bottom"/>
          </w:tcPr>
          <w:p w:rsidR="00205323" w:rsidRPr="00174C5D" w:rsidRDefault="00205323" w:rsidP="00205323">
            <w:pPr>
              <w:rPr>
                <w:rFonts w:ascii="Times New Roman" w:eastAsia="SimSun" w:hAnsi="Times New Roman"/>
                <w:b/>
                <w:szCs w:val="22"/>
                <w:lang w:val="en-GB"/>
              </w:rPr>
            </w:pPr>
            <w:r w:rsidRPr="00174C5D">
              <w:rPr>
                <w:rFonts w:ascii="Times New Roman" w:hAnsi="Times New Roman"/>
                <w:b/>
                <w:bCs/>
                <w:szCs w:val="22"/>
              </w:rPr>
              <w:t>Identifiant de l'Attribution :</w:t>
            </w:r>
            <w:r w:rsidR="00C77FA3">
              <w:rPr>
                <w:rFonts w:ascii="Times New Roman" w:hAnsi="Times New Roman"/>
                <w:b/>
                <w:bCs/>
                <w:szCs w:val="22"/>
              </w:rPr>
              <w:t xml:space="preserve"> </w:t>
            </w:r>
          </w:p>
        </w:tc>
        <w:tc>
          <w:tcPr>
            <w:tcW w:w="3137" w:type="dxa"/>
            <w:vAlign w:val="bottom"/>
          </w:tcPr>
          <w:p w:rsidR="00205323" w:rsidRPr="00174C5D" w:rsidRDefault="00205323" w:rsidP="00205323">
            <w:pPr>
              <w:rPr>
                <w:rFonts w:ascii="Times New Roman" w:eastAsia="SimSun" w:hAnsi="Times New Roman"/>
                <w:bCs/>
                <w:szCs w:val="22"/>
                <w:lang w:val="en-GB"/>
              </w:rPr>
            </w:pPr>
            <w:r w:rsidRPr="00174C5D">
              <w:rPr>
                <w:rFonts w:ascii="Times New Roman" w:eastAsia="SimSun" w:hAnsi="Times New Roman"/>
                <w:bCs/>
                <w:szCs w:val="22"/>
                <w:lang w:val="en-GB"/>
              </w:rPr>
              <w:t>00086969</w:t>
            </w:r>
          </w:p>
        </w:tc>
        <w:tc>
          <w:tcPr>
            <w:tcW w:w="2713" w:type="dxa"/>
            <w:vAlign w:val="bottom"/>
          </w:tcPr>
          <w:p w:rsidR="00205323" w:rsidRPr="00174C5D" w:rsidRDefault="00205323" w:rsidP="00205323">
            <w:pPr>
              <w:rPr>
                <w:rFonts w:ascii="Times New Roman" w:eastAsia="SimSun" w:hAnsi="Times New Roman"/>
                <w:b/>
                <w:szCs w:val="22"/>
                <w:lang w:val="en-GB"/>
              </w:rPr>
            </w:pPr>
            <w:r w:rsidRPr="00174C5D">
              <w:rPr>
                <w:rFonts w:ascii="Times New Roman" w:hAnsi="Times New Roman"/>
                <w:b/>
                <w:bCs/>
                <w:szCs w:val="22"/>
              </w:rPr>
              <w:t>Identifiant(s) du projet :</w:t>
            </w:r>
          </w:p>
        </w:tc>
        <w:tc>
          <w:tcPr>
            <w:tcW w:w="5557" w:type="dxa"/>
            <w:vAlign w:val="bottom"/>
          </w:tcPr>
          <w:p w:rsidR="00205323" w:rsidRPr="00174C5D" w:rsidRDefault="00205323" w:rsidP="00205323">
            <w:pPr>
              <w:rPr>
                <w:rFonts w:ascii="Times New Roman" w:eastAsia="SimSun" w:hAnsi="Times New Roman"/>
                <w:szCs w:val="22"/>
                <w:lang w:val="en-GB"/>
              </w:rPr>
            </w:pPr>
            <w:r w:rsidRPr="00174C5D">
              <w:rPr>
                <w:rFonts w:ascii="Times New Roman" w:eastAsia="SimSun" w:hAnsi="Times New Roman"/>
                <w:szCs w:val="22"/>
                <w:lang w:val="en-GB"/>
              </w:rPr>
              <w:t>00094115</w:t>
            </w:r>
          </w:p>
        </w:tc>
      </w:tr>
      <w:tr w:rsidR="00205323" w:rsidRPr="00174C5D" w:rsidTr="00C026AC">
        <w:trPr>
          <w:cantSplit/>
        </w:trPr>
        <w:tc>
          <w:tcPr>
            <w:tcW w:w="2880" w:type="dxa"/>
            <w:noWrap/>
            <w:vAlign w:val="bottom"/>
          </w:tcPr>
          <w:p w:rsidR="00205323" w:rsidRPr="00174C5D" w:rsidRDefault="00205323" w:rsidP="00205323">
            <w:pPr>
              <w:rPr>
                <w:rFonts w:ascii="Times New Roman" w:eastAsia="SimSun" w:hAnsi="Times New Roman"/>
                <w:b/>
                <w:szCs w:val="22"/>
                <w:lang w:val="en-GB"/>
              </w:rPr>
            </w:pPr>
            <w:r w:rsidRPr="00174C5D">
              <w:rPr>
                <w:rFonts w:ascii="Times New Roman" w:hAnsi="Times New Roman"/>
                <w:b/>
                <w:bCs/>
                <w:szCs w:val="22"/>
              </w:rPr>
              <w:t>Titre de l'Attribution :</w:t>
            </w:r>
          </w:p>
        </w:tc>
        <w:tc>
          <w:tcPr>
            <w:tcW w:w="11407" w:type="dxa"/>
            <w:gridSpan w:val="3"/>
            <w:noWrap/>
            <w:vAlign w:val="bottom"/>
          </w:tcPr>
          <w:p w:rsidR="00205323" w:rsidRPr="004F2CBA" w:rsidRDefault="00205323" w:rsidP="00205323">
            <w:pPr>
              <w:rPr>
                <w:rFonts w:ascii="Times New Roman" w:eastAsia="SimSun" w:hAnsi="Times New Roman"/>
                <w:bCs/>
                <w:szCs w:val="22"/>
                <w:lang w:val="es-ES_tradnl"/>
              </w:rPr>
            </w:pPr>
            <w:r w:rsidRPr="00174C5D">
              <w:rPr>
                <w:rFonts w:ascii="Times New Roman" w:hAnsi="Times New Roman"/>
                <w:szCs w:val="22"/>
              </w:rPr>
              <w:t xml:space="preserve">Développement du biogaz en Guinée </w:t>
            </w:r>
          </w:p>
        </w:tc>
      </w:tr>
      <w:tr w:rsidR="00205323" w:rsidRPr="00174C5D" w:rsidTr="00C026AC">
        <w:trPr>
          <w:cantSplit/>
        </w:trPr>
        <w:tc>
          <w:tcPr>
            <w:tcW w:w="2880" w:type="dxa"/>
            <w:noWrap/>
            <w:vAlign w:val="bottom"/>
          </w:tcPr>
          <w:p w:rsidR="00205323" w:rsidRPr="00174C5D" w:rsidRDefault="00205323" w:rsidP="00205323">
            <w:pPr>
              <w:rPr>
                <w:rFonts w:ascii="Times New Roman" w:eastAsia="SimSun" w:hAnsi="Times New Roman"/>
                <w:b/>
                <w:bCs/>
                <w:szCs w:val="22"/>
                <w:lang w:val="en-GB"/>
              </w:rPr>
            </w:pPr>
            <w:r w:rsidRPr="00174C5D">
              <w:rPr>
                <w:rFonts w:ascii="Times New Roman" w:hAnsi="Times New Roman"/>
                <w:b/>
                <w:bCs/>
                <w:szCs w:val="22"/>
              </w:rPr>
              <w:t>Centre de profit :</w:t>
            </w:r>
          </w:p>
        </w:tc>
        <w:tc>
          <w:tcPr>
            <w:tcW w:w="11407" w:type="dxa"/>
            <w:gridSpan w:val="3"/>
            <w:noWrap/>
            <w:vAlign w:val="bottom"/>
          </w:tcPr>
          <w:p w:rsidR="00205323" w:rsidRPr="00174C5D" w:rsidRDefault="00205323" w:rsidP="00205323">
            <w:pPr>
              <w:rPr>
                <w:rFonts w:ascii="Times New Roman" w:eastAsia="SimSun" w:hAnsi="Times New Roman"/>
                <w:bCs/>
                <w:szCs w:val="22"/>
                <w:lang w:val="en-GB"/>
              </w:rPr>
            </w:pPr>
            <w:r w:rsidRPr="00174C5D">
              <w:rPr>
                <w:rFonts w:ascii="Times New Roman" w:hAnsi="Times New Roman"/>
                <w:szCs w:val="22"/>
              </w:rPr>
              <w:t>GIN10</w:t>
            </w:r>
          </w:p>
        </w:tc>
      </w:tr>
      <w:tr w:rsidR="00205323" w:rsidRPr="00174C5D" w:rsidTr="00C026AC">
        <w:trPr>
          <w:cantSplit/>
        </w:trPr>
        <w:tc>
          <w:tcPr>
            <w:tcW w:w="2880" w:type="dxa"/>
            <w:noWrap/>
            <w:vAlign w:val="bottom"/>
          </w:tcPr>
          <w:p w:rsidR="00205323" w:rsidRPr="00174C5D" w:rsidRDefault="00205323" w:rsidP="00205323">
            <w:pPr>
              <w:rPr>
                <w:rFonts w:ascii="Times New Roman" w:eastAsia="SimSun" w:hAnsi="Times New Roman"/>
                <w:b/>
                <w:bCs/>
                <w:szCs w:val="22"/>
                <w:lang w:val="en-GB"/>
              </w:rPr>
            </w:pPr>
            <w:r w:rsidRPr="00174C5D">
              <w:rPr>
                <w:rFonts w:ascii="Times New Roman" w:hAnsi="Times New Roman"/>
                <w:b/>
                <w:bCs/>
                <w:szCs w:val="22"/>
              </w:rPr>
              <w:t>Titre du projet :</w:t>
            </w:r>
          </w:p>
        </w:tc>
        <w:tc>
          <w:tcPr>
            <w:tcW w:w="11407" w:type="dxa"/>
            <w:gridSpan w:val="3"/>
            <w:noWrap/>
            <w:vAlign w:val="bottom"/>
          </w:tcPr>
          <w:p w:rsidR="00205323" w:rsidRPr="00865A23" w:rsidRDefault="00205323" w:rsidP="00205323">
            <w:pPr>
              <w:rPr>
                <w:rFonts w:ascii="Times New Roman" w:eastAsia="SimSun" w:hAnsi="Times New Roman"/>
                <w:b/>
                <w:bCs/>
                <w:szCs w:val="22"/>
              </w:rPr>
            </w:pPr>
            <w:r w:rsidRPr="00174C5D">
              <w:rPr>
                <w:rFonts w:ascii="Times New Roman" w:hAnsi="Times New Roman"/>
                <w:szCs w:val="22"/>
              </w:rPr>
              <w:t>Création d'un marché en Guinée pour le développement et l'utilisation des ressources en biogaz.</w:t>
            </w:r>
          </w:p>
        </w:tc>
      </w:tr>
      <w:tr w:rsidR="00205323" w:rsidRPr="00174C5D" w:rsidTr="00C026AC">
        <w:trPr>
          <w:cantSplit/>
        </w:trPr>
        <w:tc>
          <w:tcPr>
            <w:tcW w:w="2880" w:type="dxa"/>
            <w:noWrap/>
            <w:vAlign w:val="bottom"/>
          </w:tcPr>
          <w:p w:rsidR="00205323" w:rsidRPr="00174C5D" w:rsidRDefault="00205323" w:rsidP="00205323">
            <w:pPr>
              <w:rPr>
                <w:rFonts w:ascii="Times New Roman" w:eastAsia="SimSun" w:hAnsi="Times New Roman"/>
                <w:b/>
                <w:szCs w:val="22"/>
                <w:lang w:val="en-GB"/>
              </w:rPr>
            </w:pPr>
            <w:r w:rsidRPr="00174C5D">
              <w:rPr>
                <w:rFonts w:ascii="Times New Roman" w:hAnsi="Times New Roman"/>
                <w:b/>
                <w:bCs/>
                <w:szCs w:val="22"/>
              </w:rPr>
              <w:t>N° PIMS</w:t>
            </w:r>
          </w:p>
        </w:tc>
        <w:tc>
          <w:tcPr>
            <w:tcW w:w="11407" w:type="dxa"/>
            <w:gridSpan w:val="3"/>
            <w:noWrap/>
            <w:vAlign w:val="bottom"/>
          </w:tcPr>
          <w:p w:rsidR="00205323" w:rsidRPr="00174C5D" w:rsidRDefault="00205323" w:rsidP="00205323">
            <w:pPr>
              <w:rPr>
                <w:rFonts w:ascii="Times New Roman" w:eastAsia="SimSun" w:hAnsi="Times New Roman"/>
                <w:b/>
                <w:szCs w:val="22"/>
                <w:lang w:val="en-GB"/>
              </w:rPr>
            </w:pPr>
            <w:r w:rsidRPr="00174C5D">
              <w:rPr>
                <w:rFonts w:ascii="Times New Roman" w:eastAsia="SimSun" w:hAnsi="Times New Roman"/>
                <w:szCs w:val="22"/>
                <w:lang w:val="en-GB"/>
              </w:rPr>
              <w:t>4780</w:t>
            </w:r>
          </w:p>
        </w:tc>
      </w:tr>
      <w:tr w:rsidR="00205323" w:rsidRPr="00174C5D" w:rsidTr="00C026AC">
        <w:trPr>
          <w:cantSplit/>
        </w:trPr>
        <w:tc>
          <w:tcPr>
            <w:tcW w:w="2880" w:type="dxa"/>
            <w:noWrap/>
            <w:vAlign w:val="bottom"/>
          </w:tcPr>
          <w:p w:rsidR="00205323" w:rsidRPr="00174C5D" w:rsidRDefault="00205323" w:rsidP="00C026AC">
            <w:pPr>
              <w:jc w:val="left"/>
              <w:rPr>
                <w:rFonts w:ascii="Times New Roman" w:eastAsia="SimSun" w:hAnsi="Times New Roman"/>
                <w:szCs w:val="22"/>
                <w:lang w:val="en-GB"/>
              </w:rPr>
            </w:pPr>
            <w:r w:rsidRPr="00174C5D">
              <w:rPr>
                <w:rFonts w:ascii="Times New Roman" w:hAnsi="Times New Roman"/>
                <w:b/>
                <w:bCs/>
                <w:szCs w:val="22"/>
              </w:rPr>
              <w:t xml:space="preserve">Partenaire d'exécution (Entité d'exécution) </w:t>
            </w:r>
          </w:p>
        </w:tc>
        <w:tc>
          <w:tcPr>
            <w:tcW w:w="11407" w:type="dxa"/>
            <w:gridSpan w:val="3"/>
            <w:vAlign w:val="bottom"/>
          </w:tcPr>
          <w:p w:rsidR="00205323" w:rsidRPr="00865A23" w:rsidRDefault="00205323" w:rsidP="00205323">
            <w:pPr>
              <w:rPr>
                <w:rFonts w:ascii="Times New Roman" w:eastAsia="SimSun" w:hAnsi="Times New Roman"/>
                <w:bCs/>
                <w:szCs w:val="22"/>
              </w:rPr>
            </w:pPr>
            <w:r w:rsidRPr="00174C5D">
              <w:rPr>
                <w:rFonts w:ascii="Times New Roman" w:hAnsi="Times New Roman"/>
                <w:szCs w:val="22"/>
              </w:rPr>
              <w:t>Ministère chargé de l'Environnement et des Eaux et Forêts (MEWF - Ministry of Environment, Water and Forests).</w:t>
            </w:r>
          </w:p>
        </w:tc>
      </w:tr>
    </w:tbl>
    <w:p w:rsidR="00205323" w:rsidRPr="00865A23" w:rsidRDefault="00205323" w:rsidP="00205323">
      <w:pPr>
        <w:rPr>
          <w:rFonts w:ascii="Times New Roman" w:hAnsi="Times New Roman"/>
          <w:b/>
          <w:bCs/>
          <w:szCs w:val="22"/>
          <w:u w:val="single"/>
        </w:rPr>
      </w:pPr>
    </w:p>
    <w:tbl>
      <w:tblPr>
        <w:tblW w:w="128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720"/>
        <w:gridCol w:w="990"/>
        <w:gridCol w:w="1080"/>
        <w:gridCol w:w="2520"/>
        <w:gridCol w:w="1010"/>
        <w:gridCol w:w="935"/>
        <w:gridCol w:w="908"/>
        <w:gridCol w:w="992"/>
        <w:gridCol w:w="980"/>
        <w:gridCol w:w="436"/>
      </w:tblGrid>
      <w:tr w:rsidR="005D2135" w:rsidRPr="00174C5D" w:rsidTr="005D2135">
        <w:trPr>
          <w:tblHeader/>
        </w:trPr>
        <w:tc>
          <w:tcPr>
            <w:tcW w:w="1440" w:type="dxa"/>
            <w:shd w:val="clear" w:color="auto" w:fill="D9D9D9"/>
            <w:vAlign w:val="center"/>
          </w:tcPr>
          <w:p w:rsidR="00205323" w:rsidRPr="00174C5D" w:rsidRDefault="00205323" w:rsidP="005D2135">
            <w:pPr>
              <w:ind w:left="5" w:hanging="5"/>
              <w:jc w:val="left"/>
              <w:rPr>
                <w:rFonts w:ascii="Times New Roman" w:hAnsi="Times New Roman"/>
                <w:b/>
                <w:bCs/>
                <w:sz w:val="18"/>
                <w:szCs w:val="18"/>
                <w:lang w:val="en-GB" w:eastAsia="en-GB"/>
              </w:rPr>
            </w:pPr>
            <w:r w:rsidRPr="00174C5D">
              <w:rPr>
                <w:rFonts w:ascii="Times New Roman" w:hAnsi="Times New Roman"/>
                <w:b/>
                <w:bCs/>
                <w:sz w:val="18"/>
                <w:szCs w:val="18"/>
              </w:rPr>
              <w:t>Résultat FEM/Activité Atlas</w:t>
            </w:r>
          </w:p>
        </w:tc>
        <w:tc>
          <w:tcPr>
            <w:tcW w:w="810"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Partie resp. / Agent d'ex.</w:t>
            </w:r>
          </w:p>
        </w:tc>
        <w:tc>
          <w:tcPr>
            <w:tcW w:w="720"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Identifiant Fonds</w:t>
            </w:r>
          </w:p>
        </w:tc>
        <w:tc>
          <w:tcPr>
            <w:tcW w:w="990"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Nom du donateur</w:t>
            </w:r>
          </w:p>
        </w:tc>
        <w:tc>
          <w:tcPr>
            <w:tcW w:w="1080"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Code de budget ATLAS</w:t>
            </w:r>
          </w:p>
        </w:tc>
        <w:tc>
          <w:tcPr>
            <w:tcW w:w="2520"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Description du budget Atlas</w:t>
            </w:r>
          </w:p>
        </w:tc>
        <w:tc>
          <w:tcPr>
            <w:tcW w:w="1010"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Montant An 1 (USD)</w:t>
            </w:r>
          </w:p>
        </w:tc>
        <w:tc>
          <w:tcPr>
            <w:tcW w:w="935"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Montant An 2 (USD)</w:t>
            </w:r>
          </w:p>
        </w:tc>
        <w:tc>
          <w:tcPr>
            <w:tcW w:w="908"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Montant An 3 (USD)</w:t>
            </w:r>
          </w:p>
        </w:tc>
        <w:tc>
          <w:tcPr>
            <w:tcW w:w="992"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Montant An 4 (USD)</w:t>
            </w:r>
          </w:p>
        </w:tc>
        <w:tc>
          <w:tcPr>
            <w:tcW w:w="980" w:type="dxa"/>
            <w:shd w:val="clear" w:color="auto" w:fill="D9D9D9"/>
          </w:tcPr>
          <w:p w:rsidR="00205323" w:rsidRPr="00174C5D" w:rsidRDefault="00205323" w:rsidP="00205323">
            <w:pPr>
              <w:jc w:val="center"/>
              <w:rPr>
                <w:rFonts w:ascii="Times New Roman" w:hAnsi="Times New Roman"/>
                <w:b/>
                <w:bCs/>
                <w:sz w:val="18"/>
                <w:szCs w:val="18"/>
                <w:lang w:val="en-GB" w:eastAsia="en-GB"/>
              </w:rPr>
            </w:pPr>
          </w:p>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TOTAL Montant (USD)</w:t>
            </w:r>
          </w:p>
        </w:tc>
        <w:tc>
          <w:tcPr>
            <w:tcW w:w="436" w:type="dxa"/>
            <w:shd w:val="clear" w:color="auto" w:fill="D9D9D9"/>
            <w:vAlign w:val="center"/>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rPr>
              <w:t>Notes</w:t>
            </w:r>
          </w:p>
        </w:tc>
      </w:tr>
      <w:tr w:rsidR="005D2135" w:rsidRPr="00174C5D" w:rsidTr="005D2135">
        <w:tc>
          <w:tcPr>
            <w:tcW w:w="1440" w:type="dxa"/>
            <w:vMerge w:val="restart"/>
            <w:noWrap/>
            <w:vAlign w:val="center"/>
          </w:tcPr>
          <w:p w:rsidR="00205323" w:rsidRPr="00865A23" w:rsidRDefault="00205323" w:rsidP="009332C4">
            <w:pPr>
              <w:jc w:val="left"/>
              <w:rPr>
                <w:rFonts w:ascii="Times New Roman" w:hAnsi="Times New Roman"/>
                <w:sz w:val="18"/>
                <w:szCs w:val="18"/>
                <w:lang w:eastAsia="en-GB"/>
              </w:rPr>
            </w:pPr>
            <w:r w:rsidRPr="00174C5D">
              <w:rPr>
                <w:rFonts w:ascii="Times New Roman" w:hAnsi="Times New Roman"/>
                <w:sz w:val="18"/>
                <w:szCs w:val="18"/>
              </w:rPr>
              <w:t>1. Politique et cadre réglementaire / légal rationalisés et exhaustifs, pour l'utilisation de biogaz à titre de source durable d'énergie renouvelable.</w:t>
            </w: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71200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Consultants internationaux</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75 000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35 000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35 000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195 000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a</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71300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Consultants locaux</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rPr>
              <w:t>25 000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15 000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75 000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b</w:t>
            </w:r>
          </w:p>
        </w:tc>
      </w:tr>
      <w:tr w:rsidR="005D2135" w:rsidRPr="00174C5D" w:rsidTr="005D2135">
        <w:trPr>
          <w:trHeight w:val="287"/>
        </w:trPr>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71600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 xml:space="preserve">Déplacements </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8 000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14 000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c</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74200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Publications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7 000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7 000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7 000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31 000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d</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72100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Services contractuels - Sociétés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10 000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e</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74500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Frais divers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80" w:type="dxa"/>
            <w:vAlign w:val="center"/>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25 000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w:t>
            </w:r>
          </w:p>
        </w:tc>
      </w:tr>
      <w:tr w:rsidR="00205323" w:rsidRPr="00174C5D" w:rsidTr="005D2135">
        <w:tc>
          <w:tcPr>
            <w:tcW w:w="7560" w:type="dxa"/>
            <w:gridSpan w:val="6"/>
            <w:shd w:val="clear" w:color="auto" w:fill="D9D9D9"/>
            <w:noWrap/>
            <w:vAlign w:val="center"/>
          </w:tcPr>
          <w:p w:rsidR="00205323" w:rsidRPr="00174C5D" w:rsidRDefault="00205323" w:rsidP="009332C4">
            <w:pPr>
              <w:jc w:val="left"/>
              <w:rPr>
                <w:rFonts w:ascii="Times New Roman" w:hAnsi="Times New Roman"/>
                <w:b/>
                <w:bCs/>
                <w:sz w:val="18"/>
                <w:szCs w:val="18"/>
                <w:lang w:val="en-GB" w:eastAsia="en-GB"/>
              </w:rPr>
            </w:pPr>
            <w:r w:rsidRPr="00174C5D">
              <w:rPr>
                <w:rFonts w:ascii="Times New Roman" w:hAnsi="Times New Roman"/>
                <w:b/>
                <w:bCs/>
                <w:sz w:val="18"/>
                <w:szCs w:val="18"/>
              </w:rPr>
              <w:t>TOTAL ACTIVITÉ 1 (Résultat 1)</w:t>
            </w:r>
          </w:p>
        </w:tc>
        <w:tc>
          <w:tcPr>
            <w:tcW w:w="1010"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sz w:val="18"/>
                <w:szCs w:val="18"/>
                <w:lang w:eastAsia="en-GB"/>
              </w:rPr>
              <w:t>138,000</w:t>
            </w:r>
          </w:p>
        </w:tc>
        <w:tc>
          <w:tcPr>
            <w:tcW w:w="935"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84 000</w:t>
            </w:r>
          </w:p>
        </w:tc>
        <w:tc>
          <w:tcPr>
            <w:tcW w:w="908"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64 000</w:t>
            </w:r>
          </w:p>
        </w:tc>
        <w:tc>
          <w:tcPr>
            <w:tcW w:w="992"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64 000</w:t>
            </w:r>
          </w:p>
        </w:tc>
        <w:tc>
          <w:tcPr>
            <w:tcW w:w="980" w:type="dxa"/>
            <w:shd w:val="clear" w:color="auto" w:fill="D9D9D9"/>
          </w:tcPr>
          <w:p w:rsidR="00205323" w:rsidRPr="00174C5D" w:rsidRDefault="00205323" w:rsidP="00205323">
            <w:pPr>
              <w:jc w:val="center"/>
              <w:rPr>
                <w:rFonts w:ascii="Times New Roman" w:hAnsi="Times New Roman"/>
                <w:b/>
                <w:sz w:val="18"/>
                <w:szCs w:val="18"/>
                <w:lang w:eastAsia="en-GB"/>
              </w:rPr>
            </w:pPr>
            <w:r w:rsidRPr="00174C5D">
              <w:rPr>
                <w:rFonts w:ascii="Times New Roman" w:hAnsi="Times New Roman"/>
                <w:b/>
                <w:sz w:val="18"/>
                <w:szCs w:val="18"/>
                <w:lang w:eastAsia="en-GB"/>
              </w:rPr>
              <w:t>350,000</w:t>
            </w:r>
          </w:p>
        </w:tc>
        <w:tc>
          <w:tcPr>
            <w:tcW w:w="436" w:type="dxa"/>
            <w:shd w:val="clear" w:color="auto" w:fill="D9D9D9"/>
            <w:noWrap/>
            <w:vAlign w:val="center"/>
          </w:tcPr>
          <w:p w:rsidR="00205323" w:rsidRPr="00174C5D" w:rsidRDefault="00205323" w:rsidP="00205323">
            <w:pPr>
              <w:jc w:val="center"/>
              <w:rPr>
                <w:rFonts w:ascii="Times New Roman" w:hAnsi="Times New Roman"/>
                <w:b/>
                <w:sz w:val="18"/>
                <w:szCs w:val="18"/>
                <w:lang w:val="en-GB" w:eastAsia="en-GB"/>
              </w:rPr>
            </w:pPr>
            <w:r w:rsidRPr="00174C5D">
              <w:rPr>
                <w:rFonts w:ascii="Times New Roman" w:hAnsi="Times New Roman"/>
                <w:b/>
                <w:sz w:val="18"/>
                <w:szCs w:val="18"/>
                <w:lang w:val="en-GB" w:eastAsia="en-GB"/>
              </w:rPr>
              <w:t> </w:t>
            </w:r>
          </w:p>
        </w:tc>
      </w:tr>
      <w:tr w:rsidR="005D2135" w:rsidRPr="00174C5D" w:rsidTr="005D2135">
        <w:tc>
          <w:tcPr>
            <w:tcW w:w="1440" w:type="dxa"/>
            <w:vMerge w:val="restart"/>
            <w:noWrap/>
            <w:vAlign w:val="center"/>
          </w:tcPr>
          <w:p w:rsidR="00205323" w:rsidRPr="004F2CBA" w:rsidRDefault="00205323" w:rsidP="005D2135">
            <w:pPr>
              <w:tabs>
                <w:tab w:val="left" w:pos="-108"/>
              </w:tabs>
              <w:autoSpaceDE w:val="0"/>
              <w:autoSpaceDN w:val="0"/>
              <w:adjustRightInd w:val="0"/>
              <w:spacing w:after="200"/>
              <w:ind w:left="-18" w:right="-27"/>
              <w:jc w:val="left"/>
              <w:rPr>
                <w:rFonts w:ascii="Times New Roman" w:hAnsi="Times New Roman"/>
                <w:szCs w:val="22"/>
              </w:rPr>
            </w:pPr>
            <w:r w:rsidRPr="00174C5D">
              <w:rPr>
                <w:rFonts w:ascii="Times New Roman" w:hAnsi="Times New Roman"/>
                <w:sz w:val="18"/>
                <w:szCs w:val="18"/>
              </w:rPr>
              <w:t>2. Promotion des investissements en faveur de la technologie de biogaz grâce aux mesures d'incitation financière faisant office de catalyseur pour les développeurs de projet.</w:t>
            </w: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71200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Consultants internationaux</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150 000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100 000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50 000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500 000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g</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71300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Consultants locaux</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40 000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40 000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30 000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30 000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140 000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h</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71600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 xml:space="preserve">Déplacements </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15 000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60 000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i</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72100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Services contractuels - Sociétés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1 000 000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1 000 000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j</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72200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Équipement et ameublement</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40 000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80 000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k</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72800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Logiciels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20 000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l</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74500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Frais divers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80" w:type="dxa"/>
            <w:vAlign w:val="center"/>
          </w:tcPr>
          <w:p w:rsidR="00205323" w:rsidRPr="00174C5D" w:rsidRDefault="00205323" w:rsidP="005D2135">
            <w:pPr>
              <w:jc w:val="center"/>
              <w:rPr>
                <w:rFonts w:ascii="Times New Roman" w:hAnsi="Times New Roman"/>
                <w:sz w:val="18"/>
                <w:szCs w:val="18"/>
                <w:lang w:eastAsia="en-GB"/>
              </w:rPr>
            </w:pPr>
            <w:r w:rsidRPr="00174C5D">
              <w:rPr>
                <w:rFonts w:ascii="Times New Roman" w:hAnsi="Times New Roman"/>
                <w:sz w:val="18"/>
                <w:szCs w:val="18"/>
                <w:lang w:eastAsia="en-GB"/>
              </w:rPr>
              <w:t>20 000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m</w:t>
            </w:r>
          </w:p>
        </w:tc>
      </w:tr>
      <w:tr w:rsidR="00205323" w:rsidRPr="00174C5D" w:rsidTr="005D2135">
        <w:tc>
          <w:tcPr>
            <w:tcW w:w="7560" w:type="dxa"/>
            <w:gridSpan w:val="6"/>
            <w:shd w:val="clear" w:color="auto" w:fill="D9D9D9"/>
            <w:noWrap/>
            <w:vAlign w:val="center"/>
          </w:tcPr>
          <w:p w:rsidR="00205323" w:rsidRPr="00174C5D" w:rsidRDefault="00205323" w:rsidP="009332C4">
            <w:pPr>
              <w:jc w:val="left"/>
              <w:rPr>
                <w:rFonts w:ascii="Times New Roman" w:hAnsi="Times New Roman"/>
                <w:b/>
                <w:bCs/>
                <w:sz w:val="18"/>
                <w:szCs w:val="18"/>
                <w:lang w:val="en-GB" w:eastAsia="en-GB"/>
              </w:rPr>
            </w:pPr>
            <w:r w:rsidRPr="00174C5D">
              <w:rPr>
                <w:rFonts w:ascii="Times New Roman" w:hAnsi="Times New Roman"/>
                <w:b/>
                <w:bCs/>
                <w:sz w:val="18"/>
                <w:szCs w:val="18"/>
              </w:rPr>
              <w:lastRenderedPageBreak/>
              <w:t>TOTAL ACTIVITÉ 2 (Résultat 2)</w:t>
            </w:r>
          </w:p>
        </w:tc>
        <w:tc>
          <w:tcPr>
            <w:tcW w:w="1010"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sz w:val="18"/>
                <w:szCs w:val="18"/>
                <w:lang w:eastAsia="en-GB"/>
              </w:rPr>
              <w:t>1 325 000</w:t>
            </w:r>
          </w:p>
        </w:tc>
        <w:tc>
          <w:tcPr>
            <w:tcW w:w="935"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sz w:val="18"/>
                <w:szCs w:val="18"/>
                <w:lang w:eastAsia="en-GB"/>
              </w:rPr>
              <w:t>230 000</w:t>
            </w:r>
          </w:p>
        </w:tc>
        <w:tc>
          <w:tcPr>
            <w:tcW w:w="908"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sz w:val="18"/>
                <w:szCs w:val="18"/>
                <w:lang w:eastAsia="en-GB"/>
              </w:rPr>
              <w:t>160 000</w:t>
            </w:r>
          </w:p>
        </w:tc>
        <w:tc>
          <w:tcPr>
            <w:tcW w:w="992" w:type="dxa"/>
            <w:shd w:val="clear" w:color="auto" w:fill="D9D9D9"/>
            <w:vAlign w:val="center"/>
          </w:tcPr>
          <w:p w:rsidR="00205323" w:rsidRPr="00174C5D" w:rsidRDefault="00205323" w:rsidP="00205323">
            <w:pPr>
              <w:jc w:val="right"/>
              <w:rPr>
                <w:rFonts w:ascii="Times New Roman" w:hAnsi="Times New Roman"/>
                <w:b/>
                <w:bCs/>
                <w:sz w:val="18"/>
                <w:szCs w:val="18"/>
              </w:rPr>
            </w:pPr>
            <w:r w:rsidRPr="00174C5D">
              <w:rPr>
                <w:rFonts w:ascii="Times New Roman" w:hAnsi="Times New Roman"/>
                <w:b/>
                <w:sz w:val="18"/>
                <w:szCs w:val="18"/>
                <w:lang w:eastAsia="en-GB"/>
              </w:rPr>
              <w:t>105 000</w:t>
            </w:r>
          </w:p>
        </w:tc>
        <w:tc>
          <w:tcPr>
            <w:tcW w:w="980" w:type="dxa"/>
            <w:shd w:val="clear" w:color="auto" w:fill="D9D9D9"/>
          </w:tcPr>
          <w:p w:rsidR="00205323" w:rsidRPr="00174C5D" w:rsidRDefault="00205323" w:rsidP="00205323">
            <w:pPr>
              <w:jc w:val="center"/>
              <w:rPr>
                <w:rFonts w:ascii="Times New Roman" w:hAnsi="Times New Roman"/>
                <w:b/>
                <w:sz w:val="18"/>
                <w:szCs w:val="18"/>
                <w:lang w:eastAsia="en-GB"/>
              </w:rPr>
            </w:pPr>
            <w:r w:rsidRPr="00174C5D">
              <w:rPr>
                <w:rFonts w:ascii="Times New Roman" w:hAnsi="Times New Roman"/>
                <w:b/>
                <w:sz w:val="18"/>
                <w:szCs w:val="18"/>
                <w:lang w:eastAsia="en-GB"/>
              </w:rPr>
              <w:t>1 820 000</w:t>
            </w:r>
          </w:p>
        </w:tc>
        <w:tc>
          <w:tcPr>
            <w:tcW w:w="436" w:type="dxa"/>
            <w:shd w:val="clear" w:color="auto" w:fill="D9D9D9"/>
            <w:noWrap/>
            <w:vAlign w:val="center"/>
          </w:tcPr>
          <w:p w:rsidR="00205323" w:rsidRPr="00174C5D" w:rsidRDefault="00205323" w:rsidP="00205323">
            <w:pPr>
              <w:jc w:val="center"/>
              <w:rPr>
                <w:rFonts w:ascii="Times New Roman" w:hAnsi="Times New Roman"/>
                <w:b/>
                <w:sz w:val="18"/>
                <w:szCs w:val="18"/>
                <w:lang w:val="en-GB" w:eastAsia="en-GB"/>
              </w:rPr>
            </w:pPr>
            <w:r w:rsidRPr="00174C5D">
              <w:rPr>
                <w:rFonts w:ascii="Times New Roman" w:hAnsi="Times New Roman"/>
                <w:b/>
                <w:sz w:val="18"/>
                <w:szCs w:val="18"/>
                <w:lang w:val="en-GB" w:eastAsia="en-GB"/>
              </w:rPr>
              <w:t> </w:t>
            </w:r>
          </w:p>
        </w:tc>
      </w:tr>
      <w:tr w:rsidR="005D2135" w:rsidRPr="00174C5D" w:rsidTr="005D2135">
        <w:tc>
          <w:tcPr>
            <w:tcW w:w="1440" w:type="dxa"/>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04000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 xml:space="preserve">PNUD </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72100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Services contractuels - Sociétés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200 000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n</w:t>
            </w:r>
          </w:p>
        </w:tc>
      </w:tr>
      <w:tr w:rsidR="00205323" w:rsidRPr="00174C5D" w:rsidTr="005D2135">
        <w:tc>
          <w:tcPr>
            <w:tcW w:w="7560" w:type="dxa"/>
            <w:gridSpan w:val="6"/>
            <w:noWrap/>
            <w:vAlign w:val="center"/>
          </w:tcPr>
          <w:p w:rsidR="00205323" w:rsidRPr="00865A23" w:rsidRDefault="00205323" w:rsidP="009332C4">
            <w:pPr>
              <w:jc w:val="left"/>
              <w:rPr>
                <w:rFonts w:ascii="Times New Roman" w:hAnsi="Times New Roman"/>
                <w:sz w:val="18"/>
                <w:szCs w:val="18"/>
                <w:lang w:eastAsia="en-GB"/>
              </w:rPr>
            </w:pPr>
            <w:r w:rsidRPr="00174C5D">
              <w:rPr>
                <w:rFonts w:ascii="Times New Roman" w:hAnsi="Times New Roman"/>
                <w:b/>
                <w:bCs/>
                <w:sz w:val="18"/>
                <w:szCs w:val="18"/>
              </w:rPr>
              <w:t>TOTAL ACTIVITÉ 2 (Résultat 2) FEM + PNUD</w:t>
            </w:r>
          </w:p>
        </w:tc>
        <w:tc>
          <w:tcPr>
            <w:tcW w:w="1010" w:type="dxa"/>
            <w:noWrap/>
            <w:vAlign w:val="center"/>
          </w:tcPr>
          <w:p w:rsidR="00205323" w:rsidRPr="00174C5D" w:rsidRDefault="00205323" w:rsidP="00205323">
            <w:pPr>
              <w:jc w:val="right"/>
              <w:rPr>
                <w:rFonts w:ascii="Times New Roman" w:hAnsi="Times New Roman"/>
                <w:b/>
                <w:sz w:val="18"/>
                <w:szCs w:val="18"/>
                <w:lang w:eastAsia="en-GB"/>
              </w:rPr>
            </w:pPr>
            <w:r w:rsidRPr="00174C5D">
              <w:rPr>
                <w:rFonts w:ascii="Times New Roman" w:hAnsi="Times New Roman"/>
                <w:b/>
                <w:sz w:val="18"/>
                <w:szCs w:val="18"/>
                <w:lang w:eastAsia="en-GB"/>
              </w:rPr>
              <w:t>1 525 000</w:t>
            </w:r>
          </w:p>
        </w:tc>
        <w:tc>
          <w:tcPr>
            <w:tcW w:w="935" w:type="dxa"/>
            <w:noWrap/>
            <w:vAlign w:val="center"/>
          </w:tcPr>
          <w:p w:rsidR="00205323" w:rsidRPr="00174C5D" w:rsidRDefault="00205323" w:rsidP="00205323">
            <w:pPr>
              <w:jc w:val="right"/>
              <w:rPr>
                <w:rFonts w:ascii="Times New Roman" w:hAnsi="Times New Roman"/>
                <w:b/>
                <w:sz w:val="18"/>
                <w:szCs w:val="18"/>
                <w:lang w:eastAsia="en-GB"/>
              </w:rPr>
            </w:pPr>
            <w:r w:rsidRPr="00174C5D">
              <w:rPr>
                <w:rFonts w:ascii="Times New Roman" w:hAnsi="Times New Roman"/>
                <w:b/>
                <w:sz w:val="18"/>
                <w:szCs w:val="18"/>
                <w:lang w:eastAsia="en-GB"/>
              </w:rPr>
              <w:t>230 000</w:t>
            </w:r>
          </w:p>
        </w:tc>
        <w:tc>
          <w:tcPr>
            <w:tcW w:w="908" w:type="dxa"/>
            <w:noWrap/>
            <w:vAlign w:val="center"/>
          </w:tcPr>
          <w:p w:rsidR="00205323" w:rsidRPr="00174C5D" w:rsidRDefault="00205323" w:rsidP="00205323">
            <w:pPr>
              <w:jc w:val="right"/>
              <w:rPr>
                <w:rFonts w:ascii="Times New Roman" w:hAnsi="Times New Roman"/>
                <w:b/>
                <w:sz w:val="18"/>
                <w:szCs w:val="18"/>
                <w:lang w:eastAsia="en-GB"/>
              </w:rPr>
            </w:pPr>
            <w:r w:rsidRPr="00174C5D">
              <w:rPr>
                <w:rFonts w:ascii="Times New Roman" w:hAnsi="Times New Roman"/>
                <w:b/>
                <w:sz w:val="18"/>
                <w:szCs w:val="18"/>
                <w:lang w:eastAsia="en-GB"/>
              </w:rPr>
              <w:t>160 000</w:t>
            </w:r>
          </w:p>
        </w:tc>
        <w:tc>
          <w:tcPr>
            <w:tcW w:w="992" w:type="dxa"/>
            <w:noWrap/>
            <w:vAlign w:val="center"/>
          </w:tcPr>
          <w:p w:rsidR="00205323" w:rsidRPr="00174C5D" w:rsidRDefault="00205323" w:rsidP="00205323">
            <w:pPr>
              <w:jc w:val="right"/>
              <w:rPr>
                <w:rFonts w:ascii="Times New Roman" w:hAnsi="Times New Roman"/>
                <w:b/>
                <w:sz w:val="18"/>
                <w:szCs w:val="18"/>
                <w:lang w:eastAsia="en-GB"/>
              </w:rPr>
            </w:pPr>
            <w:r w:rsidRPr="00174C5D">
              <w:rPr>
                <w:rFonts w:ascii="Times New Roman" w:hAnsi="Times New Roman"/>
                <w:b/>
                <w:sz w:val="18"/>
                <w:szCs w:val="18"/>
                <w:lang w:eastAsia="en-GB"/>
              </w:rPr>
              <w:t>105 000</w:t>
            </w:r>
          </w:p>
        </w:tc>
        <w:tc>
          <w:tcPr>
            <w:tcW w:w="980" w:type="dxa"/>
          </w:tcPr>
          <w:p w:rsidR="00205323" w:rsidRPr="00174C5D" w:rsidRDefault="00205323" w:rsidP="00205323">
            <w:pPr>
              <w:jc w:val="center"/>
              <w:rPr>
                <w:rFonts w:ascii="Times New Roman" w:hAnsi="Times New Roman"/>
                <w:b/>
                <w:sz w:val="18"/>
                <w:szCs w:val="18"/>
                <w:lang w:eastAsia="en-GB"/>
              </w:rPr>
            </w:pPr>
            <w:r w:rsidRPr="00174C5D">
              <w:rPr>
                <w:rFonts w:ascii="Times New Roman" w:hAnsi="Times New Roman"/>
                <w:b/>
                <w:sz w:val="18"/>
                <w:szCs w:val="18"/>
                <w:lang w:eastAsia="en-GB"/>
              </w:rPr>
              <w:t>2 020 000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p>
        </w:tc>
      </w:tr>
      <w:tr w:rsidR="005D2135" w:rsidRPr="00174C5D" w:rsidTr="005D2135">
        <w:tc>
          <w:tcPr>
            <w:tcW w:w="1440" w:type="dxa"/>
            <w:vMerge w:val="restart"/>
            <w:noWrap/>
            <w:vAlign w:val="center"/>
          </w:tcPr>
          <w:p w:rsidR="00205323" w:rsidRPr="004F2CBA" w:rsidRDefault="00205323" w:rsidP="009332C4">
            <w:pPr>
              <w:ind w:right="-108"/>
              <w:jc w:val="left"/>
              <w:rPr>
                <w:rFonts w:ascii="Times New Roman" w:hAnsi="Times New Roman"/>
                <w:sz w:val="18"/>
                <w:szCs w:val="18"/>
                <w:lang w:eastAsia="en-GB"/>
              </w:rPr>
            </w:pPr>
            <w:r w:rsidRPr="00174C5D">
              <w:rPr>
                <w:rFonts w:ascii="Times New Roman" w:hAnsi="Times New Roman"/>
                <w:sz w:val="18"/>
                <w:szCs w:val="18"/>
              </w:rPr>
              <w:t>3. Le programme apporte son soutien à un marché croissant de fournisseurs et d'utilisateurs du biogaz et de ses effluents, conduisant à une amélioration globale des moyens d'existence.</w:t>
            </w: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71200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Consultants internationaux</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35 000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25 000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160 000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o</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71300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Consultants locaux</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40 000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p</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71600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 xml:space="preserve">Déplacements </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25 000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q</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72100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Services contractuels - Sociétés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80" w:type="dxa"/>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50 000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r</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72200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 xml:space="preserve">Équipement/logiciels </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80" w:type="dxa"/>
            <w:vAlign w:val="center"/>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30 000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s</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 xml:space="preserve">FEM </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72800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Équipement informatique</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20 000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10 000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80" w:type="dxa"/>
            <w:vAlign w:val="center"/>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40 000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t</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74500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Divers</w:t>
            </w:r>
          </w:p>
        </w:tc>
        <w:tc>
          <w:tcPr>
            <w:tcW w:w="1010"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5 000</w:t>
            </w:r>
          </w:p>
        </w:tc>
        <w:tc>
          <w:tcPr>
            <w:tcW w:w="935"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3 000</w:t>
            </w:r>
          </w:p>
        </w:tc>
        <w:tc>
          <w:tcPr>
            <w:tcW w:w="908"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2 706</w:t>
            </w:r>
          </w:p>
        </w:tc>
        <w:tc>
          <w:tcPr>
            <w:tcW w:w="992" w:type="dxa"/>
            <w:noWrap/>
            <w:vAlign w:val="center"/>
          </w:tcPr>
          <w:p w:rsidR="00205323" w:rsidRPr="00174C5D" w:rsidRDefault="00205323" w:rsidP="00205323">
            <w:pPr>
              <w:jc w:val="right"/>
              <w:rPr>
                <w:rFonts w:ascii="Times New Roman" w:hAnsi="Times New Roman"/>
                <w:sz w:val="18"/>
                <w:szCs w:val="18"/>
                <w:lang w:eastAsia="en-GB"/>
              </w:rPr>
            </w:pPr>
            <w:r w:rsidRPr="00174C5D">
              <w:rPr>
                <w:rFonts w:ascii="Times New Roman" w:hAnsi="Times New Roman"/>
                <w:sz w:val="18"/>
                <w:szCs w:val="18"/>
                <w:lang w:eastAsia="en-GB"/>
              </w:rPr>
              <w:t>2 000</w:t>
            </w:r>
          </w:p>
        </w:tc>
        <w:tc>
          <w:tcPr>
            <w:tcW w:w="980" w:type="dxa"/>
            <w:vAlign w:val="center"/>
          </w:tcPr>
          <w:p w:rsidR="00205323" w:rsidRPr="00174C5D" w:rsidRDefault="00205323" w:rsidP="005D2135">
            <w:pPr>
              <w:jc w:val="center"/>
              <w:rPr>
                <w:rFonts w:ascii="Times New Roman" w:hAnsi="Times New Roman"/>
                <w:sz w:val="18"/>
                <w:szCs w:val="18"/>
                <w:lang w:eastAsia="en-GB"/>
              </w:rPr>
            </w:pPr>
            <w:r w:rsidRPr="00174C5D">
              <w:rPr>
                <w:rFonts w:ascii="Times New Roman" w:hAnsi="Times New Roman"/>
                <w:sz w:val="18"/>
                <w:szCs w:val="18"/>
                <w:lang w:eastAsia="en-GB"/>
              </w:rPr>
              <w:t>12 706</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u</w:t>
            </w:r>
          </w:p>
        </w:tc>
      </w:tr>
      <w:tr w:rsidR="00205323" w:rsidRPr="00174C5D" w:rsidTr="005D2135">
        <w:trPr>
          <w:trHeight w:val="332"/>
        </w:trPr>
        <w:tc>
          <w:tcPr>
            <w:tcW w:w="7560" w:type="dxa"/>
            <w:gridSpan w:val="6"/>
            <w:shd w:val="clear" w:color="auto" w:fill="D9D9D9"/>
            <w:noWrap/>
            <w:vAlign w:val="center"/>
          </w:tcPr>
          <w:p w:rsidR="00205323" w:rsidRPr="00174C5D" w:rsidRDefault="00205323" w:rsidP="009332C4">
            <w:pPr>
              <w:jc w:val="left"/>
              <w:rPr>
                <w:rFonts w:ascii="Times New Roman" w:hAnsi="Times New Roman"/>
                <w:b/>
                <w:bCs/>
                <w:sz w:val="18"/>
                <w:szCs w:val="18"/>
                <w:lang w:val="en-GB" w:eastAsia="en-GB"/>
              </w:rPr>
            </w:pPr>
            <w:r w:rsidRPr="00174C5D">
              <w:rPr>
                <w:rFonts w:ascii="Times New Roman" w:hAnsi="Times New Roman"/>
                <w:b/>
                <w:bCs/>
                <w:sz w:val="18"/>
                <w:szCs w:val="18"/>
              </w:rPr>
              <w:t>TOTAL ACTIVITÉ 3 (Résultat 3)</w:t>
            </w:r>
          </w:p>
        </w:tc>
        <w:tc>
          <w:tcPr>
            <w:tcW w:w="1010" w:type="dxa"/>
            <w:shd w:val="clear" w:color="auto" w:fill="D9D9D9"/>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125 000</w:t>
            </w:r>
          </w:p>
        </w:tc>
        <w:tc>
          <w:tcPr>
            <w:tcW w:w="935" w:type="dxa"/>
            <w:shd w:val="clear" w:color="auto" w:fill="D9D9D9"/>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98 000</w:t>
            </w:r>
          </w:p>
        </w:tc>
        <w:tc>
          <w:tcPr>
            <w:tcW w:w="908" w:type="dxa"/>
            <w:shd w:val="clear" w:color="auto" w:fill="D9D9D9"/>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72 706</w:t>
            </w:r>
          </w:p>
        </w:tc>
        <w:tc>
          <w:tcPr>
            <w:tcW w:w="992" w:type="dxa"/>
            <w:shd w:val="clear" w:color="auto" w:fill="D9D9D9"/>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62 000</w:t>
            </w:r>
          </w:p>
        </w:tc>
        <w:tc>
          <w:tcPr>
            <w:tcW w:w="980" w:type="dxa"/>
            <w:shd w:val="clear" w:color="auto" w:fill="D9D9D9"/>
          </w:tcPr>
          <w:p w:rsidR="00205323" w:rsidRPr="00174C5D" w:rsidRDefault="00205323" w:rsidP="00205323">
            <w:pPr>
              <w:jc w:val="center"/>
              <w:rPr>
                <w:rFonts w:ascii="Times New Roman" w:hAnsi="Times New Roman"/>
                <w:sz w:val="18"/>
                <w:szCs w:val="18"/>
                <w:lang w:eastAsia="en-GB"/>
              </w:rPr>
            </w:pPr>
            <w:r w:rsidRPr="00174C5D">
              <w:rPr>
                <w:rFonts w:ascii="Times New Roman" w:hAnsi="Times New Roman"/>
                <w:sz w:val="18"/>
                <w:szCs w:val="18"/>
                <w:lang w:eastAsia="en-GB"/>
              </w:rPr>
              <w:t>357 706</w:t>
            </w:r>
          </w:p>
        </w:tc>
        <w:tc>
          <w:tcPr>
            <w:tcW w:w="436" w:type="dxa"/>
            <w:shd w:val="clear" w:color="auto" w:fill="D9D9D9"/>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 </w:t>
            </w:r>
          </w:p>
        </w:tc>
      </w:tr>
      <w:tr w:rsidR="005D2135" w:rsidRPr="00174C5D" w:rsidTr="005D2135">
        <w:tc>
          <w:tcPr>
            <w:tcW w:w="1440" w:type="dxa"/>
            <w:vMerge w:val="restart"/>
            <w:noWrap/>
            <w:vAlign w:val="center"/>
          </w:tcPr>
          <w:p w:rsidR="00205323" w:rsidRPr="00174C5D" w:rsidRDefault="00205323" w:rsidP="009332C4">
            <w:pPr>
              <w:jc w:val="left"/>
              <w:rPr>
                <w:rFonts w:ascii="Times New Roman" w:hAnsi="Times New Roman"/>
                <w:sz w:val="18"/>
                <w:szCs w:val="18"/>
                <w:lang w:val="en-GB" w:eastAsia="en-GB"/>
              </w:rPr>
            </w:pPr>
            <w:r w:rsidRPr="00174C5D">
              <w:rPr>
                <w:rFonts w:ascii="Times New Roman" w:hAnsi="Times New Roman"/>
                <w:sz w:val="18"/>
                <w:szCs w:val="18"/>
              </w:rPr>
              <w:t>Gestion du projet</w:t>
            </w: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62000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FEM</w:t>
            </w:r>
          </w:p>
        </w:tc>
        <w:tc>
          <w:tcPr>
            <w:tcW w:w="108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71400</w:t>
            </w:r>
          </w:p>
        </w:tc>
        <w:tc>
          <w:tcPr>
            <w:tcW w:w="2520" w:type="dxa"/>
            <w:noWrap/>
            <w:vAlign w:val="center"/>
          </w:tcPr>
          <w:p w:rsidR="00205323" w:rsidRPr="00174C5D" w:rsidRDefault="00205323" w:rsidP="005D2135">
            <w:pPr>
              <w:jc w:val="left"/>
              <w:rPr>
                <w:rFonts w:ascii="Times New Roman" w:hAnsi="Times New Roman"/>
                <w:sz w:val="18"/>
                <w:szCs w:val="18"/>
                <w:lang w:val="en-GB" w:eastAsia="en-GB"/>
              </w:rPr>
            </w:pPr>
            <w:r w:rsidRPr="00174C5D">
              <w:rPr>
                <w:rFonts w:ascii="Times New Roman" w:hAnsi="Times New Roman"/>
                <w:sz w:val="18"/>
                <w:szCs w:val="18"/>
              </w:rPr>
              <w:t>Services contractuels - particuliers</w:t>
            </w:r>
          </w:p>
        </w:tc>
        <w:tc>
          <w:tcPr>
            <w:tcW w:w="1010" w:type="dxa"/>
            <w:noWrap/>
            <w:vAlign w:val="center"/>
          </w:tcPr>
          <w:p w:rsidR="00205323" w:rsidRPr="00174C5D" w:rsidRDefault="00205323" w:rsidP="00205323">
            <w:pPr>
              <w:jc w:val="right"/>
              <w:rPr>
                <w:rFonts w:ascii="Times New Roman" w:hAnsi="Times New Roman"/>
                <w:sz w:val="18"/>
                <w:szCs w:val="18"/>
                <w:lang w:val="en-GB" w:eastAsia="en-GB"/>
              </w:rPr>
            </w:pPr>
            <w:r w:rsidRPr="00174C5D">
              <w:rPr>
                <w:rFonts w:ascii="Times New Roman" w:hAnsi="Times New Roman"/>
                <w:sz w:val="18"/>
                <w:szCs w:val="18"/>
                <w:lang w:val="en-GB" w:eastAsia="en-GB"/>
              </w:rPr>
              <w:t>30 000</w:t>
            </w:r>
          </w:p>
        </w:tc>
        <w:tc>
          <w:tcPr>
            <w:tcW w:w="935" w:type="dxa"/>
            <w:noWrap/>
            <w:vAlign w:val="center"/>
          </w:tcPr>
          <w:p w:rsidR="00205323" w:rsidRPr="00174C5D" w:rsidRDefault="00205323" w:rsidP="00205323">
            <w:pPr>
              <w:jc w:val="right"/>
              <w:rPr>
                <w:rFonts w:ascii="Times New Roman" w:hAnsi="Times New Roman"/>
                <w:sz w:val="18"/>
                <w:szCs w:val="18"/>
                <w:lang w:val="en-GB" w:eastAsia="en-GB"/>
              </w:rPr>
            </w:pPr>
            <w:r w:rsidRPr="00174C5D">
              <w:rPr>
                <w:rFonts w:ascii="Times New Roman" w:hAnsi="Times New Roman"/>
                <w:sz w:val="18"/>
                <w:szCs w:val="18"/>
                <w:lang w:val="en-GB" w:eastAsia="en-GB"/>
              </w:rPr>
              <w:t>30 000</w:t>
            </w:r>
          </w:p>
        </w:tc>
        <w:tc>
          <w:tcPr>
            <w:tcW w:w="908" w:type="dxa"/>
            <w:noWrap/>
            <w:vAlign w:val="center"/>
          </w:tcPr>
          <w:p w:rsidR="00205323" w:rsidRPr="00174C5D" w:rsidRDefault="00205323" w:rsidP="00205323">
            <w:pPr>
              <w:jc w:val="right"/>
              <w:rPr>
                <w:rFonts w:ascii="Times New Roman" w:hAnsi="Times New Roman"/>
                <w:sz w:val="18"/>
                <w:szCs w:val="18"/>
                <w:lang w:val="en-GB" w:eastAsia="en-GB"/>
              </w:rPr>
            </w:pPr>
            <w:r w:rsidRPr="00174C5D">
              <w:rPr>
                <w:rFonts w:ascii="Times New Roman" w:hAnsi="Times New Roman"/>
                <w:sz w:val="18"/>
                <w:szCs w:val="18"/>
                <w:lang w:val="en-GB" w:eastAsia="en-GB"/>
              </w:rPr>
              <w:t>30 000</w:t>
            </w:r>
          </w:p>
        </w:tc>
        <w:tc>
          <w:tcPr>
            <w:tcW w:w="992" w:type="dxa"/>
            <w:noWrap/>
            <w:vAlign w:val="center"/>
          </w:tcPr>
          <w:p w:rsidR="00205323" w:rsidRPr="00174C5D" w:rsidRDefault="00205323" w:rsidP="00205323">
            <w:pPr>
              <w:jc w:val="right"/>
              <w:rPr>
                <w:rFonts w:ascii="Times New Roman" w:hAnsi="Times New Roman"/>
                <w:sz w:val="18"/>
                <w:szCs w:val="18"/>
                <w:lang w:val="en-GB" w:eastAsia="en-GB"/>
              </w:rPr>
            </w:pPr>
            <w:r w:rsidRPr="00174C5D">
              <w:rPr>
                <w:rFonts w:ascii="Times New Roman" w:hAnsi="Times New Roman"/>
                <w:sz w:val="18"/>
                <w:szCs w:val="18"/>
                <w:lang w:val="en-GB" w:eastAsia="en-GB"/>
              </w:rPr>
              <w:t>30 000</w:t>
            </w:r>
          </w:p>
        </w:tc>
        <w:tc>
          <w:tcPr>
            <w:tcW w:w="980" w:type="dxa"/>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120 000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v</w:t>
            </w:r>
          </w:p>
        </w:tc>
      </w:tr>
      <w:tr w:rsidR="005D2135" w:rsidRPr="00174C5D" w:rsidTr="005D2135">
        <w:tc>
          <w:tcPr>
            <w:tcW w:w="1440" w:type="dxa"/>
            <w:vMerge/>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6"/>
                <w:szCs w:val="16"/>
              </w:rPr>
              <w:t>MEWF</w:t>
            </w:r>
          </w:p>
        </w:tc>
        <w:tc>
          <w:tcPr>
            <w:tcW w:w="72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04000</w:t>
            </w:r>
          </w:p>
        </w:tc>
        <w:tc>
          <w:tcPr>
            <w:tcW w:w="990"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 xml:space="preserve">PNUD </w:t>
            </w:r>
          </w:p>
        </w:tc>
        <w:tc>
          <w:tcPr>
            <w:tcW w:w="1080" w:type="dxa"/>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72100</w:t>
            </w:r>
          </w:p>
        </w:tc>
        <w:tc>
          <w:tcPr>
            <w:tcW w:w="2520" w:type="dxa"/>
            <w:noWrap/>
            <w:vAlign w:val="center"/>
          </w:tcPr>
          <w:p w:rsidR="00205323" w:rsidRPr="00174C5D" w:rsidRDefault="00205323" w:rsidP="00205323">
            <w:pPr>
              <w:rPr>
                <w:rFonts w:ascii="Times New Roman" w:hAnsi="Times New Roman"/>
                <w:sz w:val="18"/>
                <w:szCs w:val="18"/>
                <w:lang w:val="en-GB" w:eastAsia="en-GB"/>
              </w:rPr>
            </w:pPr>
            <w:r w:rsidRPr="00174C5D">
              <w:rPr>
                <w:rFonts w:ascii="Times New Roman" w:hAnsi="Times New Roman"/>
                <w:sz w:val="18"/>
                <w:szCs w:val="18"/>
              </w:rPr>
              <w:t>Sociétés - Services contractuels</w:t>
            </w:r>
          </w:p>
        </w:tc>
        <w:tc>
          <w:tcPr>
            <w:tcW w:w="1010" w:type="dxa"/>
            <w:noWrap/>
          </w:tcPr>
          <w:p w:rsidR="00205323" w:rsidRPr="00174C5D" w:rsidRDefault="00205323" w:rsidP="00205323">
            <w:pPr>
              <w:jc w:val="right"/>
              <w:rPr>
                <w:rFonts w:ascii="Times New Roman" w:hAnsi="Times New Roman"/>
                <w:sz w:val="18"/>
                <w:szCs w:val="18"/>
                <w:lang w:val="en-GB"/>
              </w:rPr>
            </w:pPr>
            <w:r w:rsidRPr="00174C5D">
              <w:rPr>
                <w:rFonts w:ascii="Times New Roman" w:hAnsi="Times New Roman"/>
                <w:sz w:val="18"/>
                <w:szCs w:val="18"/>
                <w:lang w:val="en-GB"/>
              </w:rPr>
              <w:t>75 000</w:t>
            </w:r>
          </w:p>
        </w:tc>
        <w:tc>
          <w:tcPr>
            <w:tcW w:w="935" w:type="dxa"/>
            <w:noWrap/>
          </w:tcPr>
          <w:p w:rsidR="00205323" w:rsidRPr="00174C5D" w:rsidRDefault="00205323" w:rsidP="00205323">
            <w:pPr>
              <w:jc w:val="right"/>
              <w:rPr>
                <w:rFonts w:ascii="Times New Roman" w:hAnsi="Times New Roman"/>
                <w:sz w:val="18"/>
                <w:szCs w:val="18"/>
                <w:lang w:val="en-GB"/>
              </w:rPr>
            </w:pPr>
            <w:r w:rsidRPr="00174C5D">
              <w:rPr>
                <w:rFonts w:ascii="Times New Roman" w:hAnsi="Times New Roman"/>
                <w:sz w:val="18"/>
                <w:szCs w:val="18"/>
                <w:lang w:val="en-GB"/>
              </w:rPr>
              <w:t>75 000</w:t>
            </w:r>
          </w:p>
        </w:tc>
        <w:tc>
          <w:tcPr>
            <w:tcW w:w="908" w:type="dxa"/>
            <w:noWrap/>
          </w:tcPr>
          <w:p w:rsidR="00205323" w:rsidRPr="00174C5D" w:rsidRDefault="00205323" w:rsidP="00205323">
            <w:pPr>
              <w:jc w:val="right"/>
              <w:rPr>
                <w:rFonts w:ascii="Times New Roman" w:hAnsi="Times New Roman"/>
                <w:sz w:val="18"/>
                <w:szCs w:val="18"/>
                <w:lang w:val="en-GB"/>
              </w:rPr>
            </w:pPr>
            <w:r w:rsidRPr="00174C5D">
              <w:rPr>
                <w:rFonts w:ascii="Times New Roman" w:hAnsi="Times New Roman"/>
                <w:sz w:val="18"/>
                <w:szCs w:val="18"/>
                <w:lang w:val="en-GB"/>
              </w:rPr>
              <w:t>75 000</w:t>
            </w:r>
          </w:p>
        </w:tc>
        <w:tc>
          <w:tcPr>
            <w:tcW w:w="992" w:type="dxa"/>
            <w:noWrap/>
          </w:tcPr>
          <w:p w:rsidR="00205323" w:rsidRPr="00174C5D" w:rsidRDefault="00205323" w:rsidP="00205323">
            <w:pPr>
              <w:jc w:val="right"/>
              <w:rPr>
                <w:rFonts w:ascii="Times New Roman" w:hAnsi="Times New Roman"/>
                <w:sz w:val="18"/>
                <w:szCs w:val="18"/>
                <w:lang w:val="en-GB"/>
              </w:rPr>
            </w:pPr>
            <w:r w:rsidRPr="00174C5D">
              <w:rPr>
                <w:rFonts w:ascii="Times New Roman" w:hAnsi="Times New Roman"/>
                <w:sz w:val="18"/>
                <w:szCs w:val="18"/>
                <w:lang w:val="en-GB"/>
              </w:rPr>
              <w:t>75 000</w:t>
            </w:r>
          </w:p>
        </w:tc>
        <w:tc>
          <w:tcPr>
            <w:tcW w:w="980" w:type="dxa"/>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lang w:val="en-GB" w:eastAsia="en-GB"/>
              </w:rPr>
              <w:t>300 000</w:t>
            </w: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r w:rsidRPr="00174C5D">
              <w:rPr>
                <w:rFonts w:ascii="Times New Roman" w:hAnsi="Times New Roman"/>
                <w:sz w:val="18"/>
                <w:szCs w:val="18"/>
              </w:rPr>
              <w:t>v</w:t>
            </w:r>
          </w:p>
        </w:tc>
      </w:tr>
      <w:tr w:rsidR="00205323" w:rsidRPr="00174C5D" w:rsidTr="005D2135">
        <w:tc>
          <w:tcPr>
            <w:tcW w:w="7560" w:type="dxa"/>
            <w:gridSpan w:val="6"/>
            <w:shd w:val="clear" w:color="auto" w:fill="D9D9D9"/>
            <w:noWrap/>
            <w:vAlign w:val="center"/>
          </w:tcPr>
          <w:p w:rsidR="00205323" w:rsidRPr="00865A23" w:rsidRDefault="00205323" w:rsidP="009332C4">
            <w:pPr>
              <w:jc w:val="left"/>
              <w:rPr>
                <w:rFonts w:ascii="Times New Roman" w:hAnsi="Times New Roman"/>
                <w:b/>
                <w:bCs/>
                <w:sz w:val="18"/>
                <w:szCs w:val="18"/>
                <w:lang w:eastAsia="en-GB"/>
              </w:rPr>
            </w:pPr>
            <w:r w:rsidRPr="00174C5D">
              <w:rPr>
                <w:rFonts w:ascii="Times New Roman" w:hAnsi="Times New Roman"/>
                <w:b/>
                <w:bCs/>
                <w:sz w:val="18"/>
                <w:szCs w:val="18"/>
              </w:rPr>
              <w:t>TOTAL ACTIVITÉ 4 (Gestion du projet)</w:t>
            </w:r>
          </w:p>
        </w:tc>
        <w:tc>
          <w:tcPr>
            <w:tcW w:w="1010" w:type="dxa"/>
            <w:shd w:val="clear" w:color="auto" w:fill="D9D9D9"/>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105 000</w:t>
            </w:r>
          </w:p>
        </w:tc>
        <w:tc>
          <w:tcPr>
            <w:tcW w:w="935" w:type="dxa"/>
            <w:shd w:val="clear" w:color="auto" w:fill="D9D9D9"/>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105 000</w:t>
            </w:r>
          </w:p>
        </w:tc>
        <w:tc>
          <w:tcPr>
            <w:tcW w:w="908" w:type="dxa"/>
            <w:shd w:val="clear" w:color="auto" w:fill="D9D9D9"/>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105 000</w:t>
            </w:r>
          </w:p>
        </w:tc>
        <w:tc>
          <w:tcPr>
            <w:tcW w:w="992" w:type="dxa"/>
            <w:shd w:val="clear" w:color="auto" w:fill="D9D9D9"/>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105 000</w:t>
            </w:r>
          </w:p>
        </w:tc>
        <w:tc>
          <w:tcPr>
            <w:tcW w:w="980" w:type="dxa"/>
            <w:shd w:val="clear" w:color="auto" w:fill="D9D9D9"/>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lang w:val="en-GB" w:eastAsia="en-GB"/>
              </w:rPr>
              <w:t>420 000</w:t>
            </w:r>
          </w:p>
        </w:tc>
        <w:tc>
          <w:tcPr>
            <w:tcW w:w="436" w:type="dxa"/>
            <w:shd w:val="clear" w:color="auto" w:fill="D9D9D9"/>
            <w:vAlign w:val="center"/>
          </w:tcPr>
          <w:p w:rsidR="00205323" w:rsidRPr="00174C5D" w:rsidRDefault="00205323" w:rsidP="00205323">
            <w:pPr>
              <w:jc w:val="right"/>
              <w:rPr>
                <w:rFonts w:ascii="Times New Roman" w:hAnsi="Times New Roman"/>
                <w:b/>
                <w:bCs/>
                <w:sz w:val="18"/>
                <w:szCs w:val="18"/>
                <w:lang w:val="en-GB" w:eastAsia="en-GB"/>
              </w:rPr>
            </w:pPr>
            <w:r w:rsidRPr="00174C5D">
              <w:rPr>
                <w:rFonts w:ascii="Times New Roman" w:hAnsi="Times New Roman"/>
                <w:b/>
                <w:bCs/>
                <w:sz w:val="18"/>
                <w:szCs w:val="18"/>
                <w:lang w:val="en-GB" w:eastAsia="en-GB"/>
              </w:rPr>
              <w:t> </w:t>
            </w:r>
          </w:p>
        </w:tc>
      </w:tr>
      <w:tr w:rsidR="005D2135" w:rsidRPr="00174C5D" w:rsidTr="005D2135">
        <w:tc>
          <w:tcPr>
            <w:tcW w:w="1440" w:type="dxa"/>
            <w:tcBorders>
              <w:right w:val="nil"/>
            </w:tcBorders>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tcBorders>
              <w:left w:val="nil"/>
              <w:right w:val="nil"/>
            </w:tcBorders>
            <w:noWrap/>
            <w:vAlign w:val="center"/>
          </w:tcPr>
          <w:p w:rsidR="00205323" w:rsidRPr="00174C5D" w:rsidRDefault="00205323" w:rsidP="00205323">
            <w:pPr>
              <w:rPr>
                <w:rFonts w:ascii="Times New Roman" w:hAnsi="Times New Roman"/>
                <w:sz w:val="18"/>
                <w:szCs w:val="18"/>
                <w:lang w:val="en-GB" w:eastAsia="en-GB"/>
              </w:rPr>
            </w:pPr>
          </w:p>
        </w:tc>
        <w:tc>
          <w:tcPr>
            <w:tcW w:w="720" w:type="dxa"/>
            <w:tcBorders>
              <w:left w:val="nil"/>
              <w:right w:val="nil"/>
            </w:tcBorders>
            <w:noWrap/>
            <w:vAlign w:val="center"/>
          </w:tcPr>
          <w:p w:rsidR="00205323" w:rsidRPr="00174C5D" w:rsidRDefault="00205323" w:rsidP="00205323">
            <w:pPr>
              <w:rPr>
                <w:rFonts w:ascii="Times New Roman" w:hAnsi="Times New Roman"/>
                <w:sz w:val="18"/>
                <w:szCs w:val="18"/>
                <w:lang w:val="en-GB" w:eastAsia="en-GB"/>
              </w:rPr>
            </w:pPr>
          </w:p>
        </w:tc>
        <w:tc>
          <w:tcPr>
            <w:tcW w:w="990" w:type="dxa"/>
            <w:tcBorders>
              <w:left w:val="nil"/>
              <w:right w:val="nil"/>
            </w:tcBorders>
            <w:noWrap/>
            <w:vAlign w:val="center"/>
          </w:tcPr>
          <w:p w:rsidR="00205323" w:rsidRPr="00174C5D" w:rsidRDefault="00205323" w:rsidP="00205323">
            <w:pPr>
              <w:jc w:val="center"/>
              <w:rPr>
                <w:rFonts w:ascii="Times New Roman" w:hAnsi="Times New Roman"/>
                <w:sz w:val="18"/>
                <w:szCs w:val="18"/>
                <w:lang w:val="en-GB" w:eastAsia="en-GB"/>
              </w:rPr>
            </w:pPr>
          </w:p>
        </w:tc>
        <w:tc>
          <w:tcPr>
            <w:tcW w:w="1080" w:type="dxa"/>
            <w:tcBorders>
              <w:left w:val="nil"/>
              <w:right w:val="nil"/>
            </w:tcBorders>
            <w:noWrap/>
            <w:vAlign w:val="center"/>
          </w:tcPr>
          <w:p w:rsidR="00205323" w:rsidRPr="00174C5D" w:rsidRDefault="00205323" w:rsidP="00205323">
            <w:pPr>
              <w:jc w:val="center"/>
              <w:rPr>
                <w:rFonts w:ascii="Times New Roman" w:hAnsi="Times New Roman"/>
                <w:sz w:val="18"/>
                <w:szCs w:val="18"/>
                <w:lang w:val="en-GB" w:eastAsia="en-GB"/>
              </w:rPr>
            </w:pPr>
          </w:p>
        </w:tc>
        <w:tc>
          <w:tcPr>
            <w:tcW w:w="2520" w:type="dxa"/>
            <w:tcBorders>
              <w:left w:val="nil"/>
            </w:tcBorders>
            <w:noWrap/>
            <w:vAlign w:val="center"/>
          </w:tcPr>
          <w:p w:rsidR="00205323" w:rsidRPr="00174C5D" w:rsidRDefault="00205323" w:rsidP="00205323">
            <w:pPr>
              <w:rPr>
                <w:rFonts w:ascii="Times New Roman" w:hAnsi="Times New Roman"/>
                <w:sz w:val="18"/>
                <w:szCs w:val="18"/>
                <w:lang w:val="en-GB" w:eastAsia="en-GB"/>
              </w:rPr>
            </w:pPr>
          </w:p>
        </w:tc>
        <w:tc>
          <w:tcPr>
            <w:tcW w:w="1010" w:type="dxa"/>
            <w:noWrap/>
            <w:vAlign w:val="center"/>
          </w:tcPr>
          <w:p w:rsidR="00205323" w:rsidRPr="00174C5D" w:rsidRDefault="00205323" w:rsidP="00205323">
            <w:pPr>
              <w:jc w:val="right"/>
              <w:rPr>
                <w:rFonts w:ascii="Times New Roman" w:hAnsi="Times New Roman"/>
                <w:sz w:val="18"/>
                <w:szCs w:val="18"/>
                <w:lang w:val="en-GB" w:eastAsia="en-GB"/>
              </w:rPr>
            </w:pPr>
          </w:p>
        </w:tc>
        <w:tc>
          <w:tcPr>
            <w:tcW w:w="935" w:type="dxa"/>
            <w:noWrap/>
            <w:vAlign w:val="center"/>
          </w:tcPr>
          <w:p w:rsidR="00205323" w:rsidRPr="00174C5D" w:rsidRDefault="00205323" w:rsidP="00205323">
            <w:pPr>
              <w:jc w:val="right"/>
              <w:rPr>
                <w:rFonts w:ascii="Times New Roman" w:hAnsi="Times New Roman"/>
                <w:sz w:val="18"/>
                <w:szCs w:val="18"/>
                <w:lang w:val="en-GB" w:eastAsia="en-GB"/>
              </w:rPr>
            </w:pPr>
          </w:p>
        </w:tc>
        <w:tc>
          <w:tcPr>
            <w:tcW w:w="908" w:type="dxa"/>
            <w:noWrap/>
            <w:vAlign w:val="center"/>
          </w:tcPr>
          <w:p w:rsidR="00205323" w:rsidRPr="00174C5D" w:rsidRDefault="00205323" w:rsidP="00205323">
            <w:pPr>
              <w:jc w:val="right"/>
              <w:rPr>
                <w:rFonts w:ascii="Times New Roman" w:hAnsi="Times New Roman"/>
                <w:sz w:val="18"/>
                <w:szCs w:val="18"/>
                <w:lang w:val="en-GB" w:eastAsia="en-GB"/>
              </w:rPr>
            </w:pPr>
          </w:p>
        </w:tc>
        <w:tc>
          <w:tcPr>
            <w:tcW w:w="992" w:type="dxa"/>
            <w:noWrap/>
            <w:vAlign w:val="center"/>
          </w:tcPr>
          <w:p w:rsidR="00205323" w:rsidRPr="00174C5D" w:rsidRDefault="00205323" w:rsidP="00205323">
            <w:pPr>
              <w:jc w:val="right"/>
              <w:rPr>
                <w:rFonts w:ascii="Times New Roman" w:hAnsi="Times New Roman"/>
                <w:sz w:val="18"/>
                <w:szCs w:val="18"/>
                <w:lang w:val="en-GB" w:eastAsia="en-GB"/>
              </w:rPr>
            </w:pPr>
          </w:p>
        </w:tc>
        <w:tc>
          <w:tcPr>
            <w:tcW w:w="980" w:type="dxa"/>
          </w:tcPr>
          <w:p w:rsidR="00205323" w:rsidRPr="00174C5D" w:rsidRDefault="00205323" w:rsidP="00205323">
            <w:pPr>
              <w:jc w:val="center"/>
              <w:rPr>
                <w:rFonts w:ascii="Times New Roman" w:hAnsi="Times New Roman"/>
                <w:sz w:val="18"/>
                <w:szCs w:val="18"/>
                <w:lang w:val="en-GB" w:eastAsia="en-GB"/>
              </w:rPr>
            </w:pP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p>
        </w:tc>
      </w:tr>
      <w:tr w:rsidR="00205323" w:rsidRPr="00174C5D" w:rsidTr="005D2135">
        <w:tc>
          <w:tcPr>
            <w:tcW w:w="1440" w:type="dxa"/>
            <w:noWrap/>
            <w:vAlign w:val="center"/>
          </w:tcPr>
          <w:p w:rsidR="00205323" w:rsidRPr="00174C5D" w:rsidRDefault="00205323" w:rsidP="009332C4">
            <w:pPr>
              <w:jc w:val="left"/>
              <w:rPr>
                <w:rFonts w:ascii="Times New Roman" w:hAnsi="Times New Roman"/>
                <w:sz w:val="18"/>
                <w:szCs w:val="18"/>
                <w:lang w:val="en-GB" w:eastAsia="en-GB"/>
              </w:rPr>
            </w:pPr>
          </w:p>
        </w:tc>
        <w:tc>
          <w:tcPr>
            <w:tcW w:w="6120" w:type="dxa"/>
            <w:gridSpan w:val="5"/>
            <w:shd w:val="clear" w:color="000000" w:fill="CCFFCC"/>
            <w:noWrap/>
            <w:vAlign w:val="center"/>
          </w:tcPr>
          <w:p w:rsidR="00205323" w:rsidRPr="00174C5D" w:rsidRDefault="00205323" w:rsidP="00205323">
            <w:pPr>
              <w:rPr>
                <w:rFonts w:ascii="Times New Roman" w:hAnsi="Times New Roman"/>
                <w:b/>
                <w:bCs/>
                <w:sz w:val="18"/>
                <w:szCs w:val="18"/>
                <w:lang w:val="en-GB" w:eastAsia="en-GB"/>
              </w:rPr>
            </w:pPr>
            <w:r w:rsidRPr="00174C5D">
              <w:rPr>
                <w:rFonts w:ascii="Times New Roman" w:hAnsi="Times New Roman"/>
                <w:b/>
                <w:bCs/>
                <w:sz w:val="18"/>
                <w:szCs w:val="18"/>
              </w:rPr>
              <w:t>SOUS-TOTAL FEM</w:t>
            </w:r>
          </w:p>
        </w:tc>
        <w:tc>
          <w:tcPr>
            <w:tcW w:w="1010" w:type="dxa"/>
            <w:shd w:val="clear" w:color="000000" w:fill="CCFFCC"/>
            <w:noWrap/>
            <w:vAlign w:val="center"/>
          </w:tcPr>
          <w:p w:rsidR="00205323" w:rsidRPr="00174C5D" w:rsidRDefault="00205323" w:rsidP="00205323">
            <w:pPr>
              <w:jc w:val="right"/>
              <w:rPr>
                <w:rFonts w:ascii="Times New Roman" w:hAnsi="Times New Roman"/>
                <w:b/>
                <w:bCs/>
                <w:sz w:val="18"/>
                <w:szCs w:val="18"/>
                <w:lang w:val="en-GB" w:eastAsia="en-GB"/>
              </w:rPr>
            </w:pPr>
            <w:r w:rsidRPr="00174C5D">
              <w:rPr>
                <w:rFonts w:ascii="Times New Roman" w:hAnsi="Times New Roman"/>
                <w:b/>
                <w:bCs/>
                <w:sz w:val="18"/>
                <w:szCs w:val="18"/>
                <w:lang w:val="en-GB" w:eastAsia="en-GB"/>
              </w:rPr>
              <w:t>1 618 000</w:t>
            </w:r>
          </w:p>
        </w:tc>
        <w:tc>
          <w:tcPr>
            <w:tcW w:w="935" w:type="dxa"/>
            <w:shd w:val="clear" w:color="000000" w:fill="CCFFCC"/>
            <w:noWrap/>
            <w:vAlign w:val="center"/>
          </w:tcPr>
          <w:p w:rsidR="00205323" w:rsidRPr="00174C5D" w:rsidRDefault="00205323" w:rsidP="00205323">
            <w:pPr>
              <w:jc w:val="right"/>
              <w:rPr>
                <w:rFonts w:ascii="Times New Roman" w:hAnsi="Times New Roman"/>
                <w:b/>
                <w:bCs/>
                <w:sz w:val="18"/>
                <w:szCs w:val="18"/>
                <w:lang w:val="en-GB" w:eastAsia="en-GB"/>
              </w:rPr>
            </w:pPr>
            <w:r w:rsidRPr="00174C5D">
              <w:rPr>
                <w:rFonts w:ascii="Times New Roman" w:hAnsi="Times New Roman"/>
                <w:b/>
                <w:bCs/>
                <w:sz w:val="18"/>
                <w:szCs w:val="18"/>
                <w:lang w:val="en-GB" w:eastAsia="en-GB"/>
              </w:rPr>
              <w:t>442 000</w:t>
            </w:r>
          </w:p>
        </w:tc>
        <w:tc>
          <w:tcPr>
            <w:tcW w:w="908" w:type="dxa"/>
            <w:shd w:val="clear" w:color="000000" w:fill="CCFFCC"/>
            <w:noWrap/>
            <w:vAlign w:val="center"/>
          </w:tcPr>
          <w:p w:rsidR="00205323" w:rsidRPr="00174C5D" w:rsidRDefault="00205323" w:rsidP="00205323">
            <w:pPr>
              <w:jc w:val="right"/>
              <w:rPr>
                <w:rFonts w:ascii="Times New Roman" w:hAnsi="Times New Roman"/>
                <w:b/>
                <w:bCs/>
                <w:sz w:val="18"/>
                <w:szCs w:val="18"/>
                <w:lang w:val="en-GB" w:eastAsia="en-GB"/>
              </w:rPr>
            </w:pPr>
            <w:r w:rsidRPr="00174C5D">
              <w:rPr>
                <w:rFonts w:ascii="Times New Roman" w:hAnsi="Times New Roman"/>
                <w:b/>
                <w:bCs/>
                <w:sz w:val="18"/>
                <w:szCs w:val="18"/>
                <w:lang w:val="en-GB" w:eastAsia="en-GB"/>
              </w:rPr>
              <w:t>326 706</w:t>
            </w:r>
          </w:p>
        </w:tc>
        <w:tc>
          <w:tcPr>
            <w:tcW w:w="992" w:type="dxa"/>
            <w:shd w:val="clear" w:color="000000" w:fill="CCFFCC"/>
            <w:noWrap/>
            <w:vAlign w:val="center"/>
          </w:tcPr>
          <w:p w:rsidR="00205323" w:rsidRPr="00174C5D" w:rsidRDefault="00205323" w:rsidP="00205323">
            <w:pPr>
              <w:jc w:val="right"/>
              <w:rPr>
                <w:rFonts w:ascii="Times New Roman" w:hAnsi="Times New Roman"/>
                <w:b/>
                <w:bCs/>
                <w:sz w:val="18"/>
                <w:szCs w:val="18"/>
                <w:lang w:val="en-GB" w:eastAsia="en-GB"/>
              </w:rPr>
            </w:pPr>
            <w:r w:rsidRPr="00174C5D">
              <w:rPr>
                <w:rFonts w:ascii="Times New Roman" w:hAnsi="Times New Roman"/>
                <w:b/>
                <w:sz w:val="18"/>
                <w:szCs w:val="18"/>
                <w:lang w:val="en-GB" w:eastAsia="en-GB"/>
              </w:rPr>
              <w:t>261 000</w:t>
            </w:r>
          </w:p>
        </w:tc>
        <w:tc>
          <w:tcPr>
            <w:tcW w:w="980" w:type="dxa"/>
            <w:shd w:val="clear" w:color="000000" w:fill="CCFFCC"/>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lang w:val="en-GB" w:eastAsia="en-GB"/>
              </w:rPr>
              <w:t>2 647 706</w:t>
            </w:r>
          </w:p>
        </w:tc>
        <w:tc>
          <w:tcPr>
            <w:tcW w:w="436" w:type="dxa"/>
            <w:shd w:val="clear" w:color="000000" w:fill="CCFFCC"/>
            <w:noWrap/>
            <w:vAlign w:val="center"/>
          </w:tcPr>
          <w:p w:rsidR="00205323" w:rsidRPr="00174C5D" w:rsidRDefault="00205323" w:rsidP="00205323">
            <w:pPr>
              <w:rPr>
                <w:rFonts w:ascii="Times New Roman" w:hAnsi="Times New Roman"/>
                <w:b/>
                <w:bCs/>
                <w:sz w:val="18"/>
                <w:szCs w:val="18"/>
                <w:lang w:val="en-GB" w:eastAsia="en-GB"/>
              </w:rPr>
            </w:pPr>
            <w:r w:rsidRPr="00174C5D">
              <w:rPr>
                <w:rFonts w:ascii="Times New Roman" w:hAnsi="Times New Roman"/>
                <w:b/>
                <w:bCs/>
                <w:sz w:val="18"/>
                <w:szCs w:val="18"/>
                <w:lang w:val="en-GB" w:eastAsia="en-GB"/>
              </w:rPr>
              <w:t> </w:t>
            </w:r>
          </w:p>
        </w:tc>
      </w:tr>
      <w:tr w:rsidR="00205323" w:rsidRPr="00174C5D" w:rsidTr="005D2135">
        <w:tc>
          <w:tcPr>
            <w:tcW w:w="1440" w:type="dxa"/>
            <w:noWrap/>
            <w:vAlign w:val="center"/>
          </w:tcPr>
          <w:p w:rsidR="00205323" w:rsidRPr="00174C5D" w:rsidRDefault="00205323" w:rsidP="009332C4">
            <w:pPr>
              <w:jc w:val="left"/>
              <w:rPr>
                <w:rFonts w:ascii="Times New Roman" w:hAnsi="Times New Roman"/>
                <w:sz w:val="18"/>
                <w:szCs w:val="18"/>
                <w:lang w:val="en-GB" w:eastAsia="en-GB"/>
              </w:rPr>
            </w:pPr>
          </w:p>
        </w:tc>
        <w:tc>
          <w:tcPr>
            <w:tcW w:w="6120" w:type="dxa"/>
            <w:gridSpan w:val="5"/>
            <w:shd w:val="clear" w:color="000000" w:fill="FFCC99"/>
            <w:noWrap/>
            <w:vAlign w:val="center"/>
          </w:tcPr>
          <w:p w:rsidR="00205323" w:rsidRPr="00865A23" w:rsidRDefault="00205323" w:rsidP="00205323">
            <w:pPr>
              <w:rPr>
                <w:rFonts w:ascii="Times New Roman" w:hAnsi="Times New Roman"/>
                <w:b/>
                <w:bCs/>
                <w:sz w:val="18"/>
                <w:szCs w:val="18"/>
                <w:lang w:eastAsia="en-GB"/>
              </w:rPr>
            </w:pPr>
            <w:r w:rsidRPr="00174C5D">
              <w:rPr>
                <w:rFonts w:ascii="Times New Roman" w:hAnsi="Times New Roman"/>
                <w:b/>
                <w:bCs/>
                <w:sz w:val="18"/>
                <w:szCs w:val="18"/>
              </w:rPr>
              <w:t>SOUS-TOTAL TRAC (Montants cibles pour l'allocation des ressources de base) du PNUD</w:t>
            </w:r>
          </w:p>
        </w:tc>
        <w:tc>
          <w:tcPr>
            <w:tcW w:w="1010" w:type="dxa"/>
            <w:shd w:val="clear" w:color="000000" w:fill="FFCC99"/>
            <w:noWrap/>
            <w:vAlign w:val="bottom"/>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275 000</w:t>
            </w:r>
          </w:p>
        </w:tc>
        <w:tc>
          <w:tcPr>
            <w:tcW w:w="935" w:type="dxa"/>
            <w:shd w:val="clear" w:color="000000" w:fill="FFCC99"/>
            <w:noWrap/>
            <w:vAlign w:val="bottom"/>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75 000</w:t>
            </w:r>
          </w:p>
        </w:tc>
        <w:tc>
          <w:tcPr>
            <w:tcW w:w="908" w:type="dxa"/>
            <w:shd w:val="clear" w:color="000000" w:fill="FFCC99"/>
            <w:noWrap/>
            <w:vAlign w:val="bottom"/>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bCs/>
                <w:sz w:val="18"/>
                <w:szCs w:val="18"/>
                <w:lang w:val="en-GB"/>
              </w:rPr>
              <w:t>75 000</w:t>
            </w:r>
          </w:p>
        </w:tc>
        <w:tc>
          <w:tcPr>
            <w:tcW w:w="992" w:type="dxa"/>
            <w:shd w:val="clear" w:color="000000" w:fill="FFCC99"/>
            <w:noWrap/>
            <w:vAlign w:val="center"/>
          </w:tcPr>
          <w:p w:rsidR="00205323" w:rsidRPr="00174C5D" w:rsidRDefault="00205323" w:rsidP="00205323">
            <w:pPr>
              <w:jc w:val="right"/>
              <w:rPr>
                <w:rFonts w:ascii="Times New Roman" w:hAnsi="Times New Roman"/>
                <w:b/>
                <w:bCs/>
                <w:sz w:val="18"/>
                <w:szCs w:val="18"/>
                <w:lang w:val="en-GB"/>
              </w:rPr>
            </w:pPr>
            <w:r w:rsidRPr="00174C5D">
              <w:rPr>
                <w:rFonts w:ascii="Times New Roman" w:hAnsi="Times New Roman"/>
                <w:b/>
                <w:sz w:val="18"/>
                <w:szCs w:val="18"/>
                <w:lang w:val="en-GB" w:eastAsia="en-GB"/>
              </w:rPr>
              <w:t>75 000</w:t>
            </w:r>
          </w:p>
        </w:tc>
        <w:tc>
          <w:tcPr>
            <w:tcW w:w="980" w:type="dxa"/>
            <w:shd w:val="clear" w:color="000000" w:fill="FFCC99"/>
          </w:tcPr>
          <w:p w:rsidR="00205323" w:rsidRPr="00174C5D" w:rsidRDefault="00205323" w:rsidP="00205323">
            <w:pPr>
              <w:jc w:val="center"/>
              <w:rPr>
                <w:rFonts w:ascii="Times New Roman" w:hAnsi="Times New Roman"/>
                <w:b/>
                <w:bCs/>
                <w:sz w:val="18"/>
                <w:szCs w:val="18"/>
                <w:lang w:val="en-GB" w:eastAsia="en-GB"/>
              </w:rPr>
            </w:pPr>
            <w:r w:rsidRPr="00174C5D">
              <w:rPr>
                <w:rFonts w:ascii="Times New Roman" w:hAnsi="Times New Roman"/>
                <w:b/>
                <w:bCs/>
                <w:sz w:val="18"/>
                <w:szCs w:val="18"/>
                <w:lang w:val="en-GB" w:eastAsia="en-GB"/>
              </w:rPr>
              <w:t>500 000</w:t>
            </w:r>
          </w:p>
        </w:tc>
        <w:tc>
          <w:tcPr>
            <w:tcW w:w="436" w:type="dxa"/>
            <w:shd w:val="clear" w:color="000000" w:fill="FFCC99"/>
            <w:noWrap/>
            <w:vAlign w:val="center"/>
          </w:tcPr>
          <w:p w:rsidR="00205323" w:rsidRPr="00174C5D" w:rsidRDefault="00205323" w:rsidP="00205323">
            <w:pPr>
              <w:rPr>
                <w:rFonts w:ascii="Times New Roman" w:hAnsi="Times New Roman"/>
                <w:b/>
                <w:bCs/>
                <w:sz w:val="18"/>
                <w:szCs w:val="18"/>
                <w:lang w:val="en-GB" w:eastAsia="en-GB"/>
              </w:rPr>
            </w:pPr>
            <w:r w:rsidRPr="00174C5D">
              <w:rPr>
                <w:rFonts w:ascii="Times New Roman" w:hAnsi="Times New Roman"/>
                <w:b/>
                <w:bCs/>
                <w:sz w:val="18"/>
                <w:szCs w:val="18"/>
                <w:lang w:val="en-GB" w:eastAsia="en-GB"/>
              </w:rPr>
              <w:t> </w:t>
            </w:r>
          </w:p>
        </w:tc>
      </w:tr>
      <w:tr w:rsidR="005D2135" w:rsidRPr="00174C5D" w:rsidTr="005D2135">
        <w:tc>
          <w:tcPr>
            <w:tcW w:w="1440" w:type="dxa"/>
            <w:tcBorders>
              <w:right w:val="nil"/>
            </w:tcBorders>
            <w:noWrap/>
            <w:vAlign w:val="center"/>
          </w:tcPr>
          <w:p w:rsidR="00205323" w:rsidRPr="00174C5D" w:rsidRDefault="00205323" w:rsidP="009332C4">
            <w:pPr>
              <w:jc w:val="left"/>
              <w:rPr>
                <w:rFonts w:ascii="Times New Roman" w:hAnsi="Times New Roman"/>
                <w:sz w:val="18"/>
                <w:szCs w:val="18"/>
                <w:lang w:val="en-GB" w:eastAsia="en-GB"/>
              </w:rPr>
            </w:pPr>
          </w:p>
        </w:tc>
        <w:tc>
          <w:tcPr>
            <w:tcW w:w="810" w:type="dxa"/>
            <w:tcBorders>
              <w:left w:val="nil"/>
              <w:right w:val="nil"/>
            </w:tcBorders>
            <w:noWrap/>
            <w:vAlign w:val="center"/>
          </w:tcPr>
          <w:p w:rsidR="00205323" w:rsidRPr="00174C5D" w:rsidRDefault="00205323" w:rsidP="00205323">
            <w:pPr>
              <w:rPr>
                <w:rFonts w:ascii="Times New Roman" w:hAnsi="Times New Roman"/>
                <w:b/>
                <w:bCs/>
                <w:sz w:val="18"/>
                <w:szCs w:val="18"/>
                <w:lang w:val="en-GB" w:eastAsia="en-GB"/>
              </w:rPr>
            </w:pPr>
          </w:p>
        </w:tc>
        <w:tc>
          <w:tcPr>
            <w:tcW w:w="720" w:type="dxa"/>
            <w:tcBorders>
              <w:left w:val="nil"/>
              <w:right w:val="nil"/>
            </w:tcBorders>
            <w:noWrap/>
            <w:vAlign w:val="center"/>
          </w:tcPr>
          <w:p w:rsidR="00205323" w:rsidRPr="00174C5D" w:rsidRDefault="00205323" w:rsidP="00205323">
            <w:pPr>
              <w:rPr>
                <w:rFonts w:ascii="Times New Roman" w:hAnsi="Times New Roman"/>
                <w:sz w:val="18"/>
                <w:szCs w:val="18"/>
                <w:lang w:val="en-GB" w:eastAsia="en-GB"/>
              </w:rPr>
            </w:pPr>
          </w:p>
        </w:tc>
        <w:tc>
          <w:tcPr>
            <w:tcW w:w="990" w:type="dxa"/>
            <w:tcBorders>
              <w:left w:val="nil"/>
              <w:right w:val="nil"/>
            </w:tcBorders>
            <w:noWrap/>
            <w:vAlign w:val="center"/>
          </w:tcPr>
          <w:p w:rsidR="00205323" w:rsidRPr="00174C5D" w:rsidRDefault="00205323" w:rsidP="00205323">
            <w:pPr>
              <w:jc w:val="center"/>
              <w:rPr>
                <w:rFonts w:ascii="Times New Roman" w:hAnsi="Times New Roman"/>
                <w:sz w:val="18"/>
                <w:szCs w:val="18"/>
                <w:lang w:val="en-GB" w:eastAsia="en-GB"/>
              </w:rPr>
            </w:pPr>
          </w:p>
        </w:tc>
        <w:tc>
          <w:tcPr>
            <w:tcW w:w="1080" w:type="dxa"/>
            <w:tcBorders>
              <w:left w:val="nil"/>
              <w:right w:val="nil"/>
            </w:tcBorders>
            <w:noWrap/>
            <w:vAlign w:val="center"/>
          </w:tcPr>
          <w:p w:rsidR="00205323" w:rsidRPr="00174C5D" w:rsidRDefault="00205323" w:rsidP="00205323">
            <w:pPr>
              <w:jc w:val="center"/>
              <w:rPr>
                <w:rFonts w:ascii="Times New Roman" w:hAnsi="Times New Roman"/>
                <w:sz w:val="18"/>
                <w:szCs w:val="18"/>
                <w:lang w:val="en-GB" w:eastAsia="en-GB"/>
              </w:rPr>
            </w:pPr>
          </w:p>
        </w:tc>
        <w:tc>
          <w:tcPr>
            <w:tcW w:w="2520" w:type="dxa"/>
            <w:tcBorders>
              <w:left w:val="nil"/>
            </w:tcBorders>
            <w:noWrap/>
            <w:vAlign w:val="center"/>
          </w:tcPr>
          <w:p w:rsidR="00205323" w:rsidRPr="00174C5D" w:rsidRDefault="00205323" w:rsidP="00205323">
            <w:pPr>
              <w:rPr>
                <w:rFonts w:ascii="Times New Roman" w:hAnsi="Times New Roman"/>
                <w:sz w:val="18"/>
                <w:szCs w:val="18"/>
                <w:lang w:val="en-GB" w:eastAsia="en-GB"/>
              </w:rPr>
            </w:pPr>
          </w:p>
        </w:tc>
        <w:tc>
          <w:tcPr>
            <w:tcW w:w="1010" w:type="dxa"/>
            <w:noWrap/>
            <w:vAlign w:val="center"/>
          </w:tcPr>
          <w:p w:rsidR="00205323" w:rsidRPr="00174C5D" w:rsidRDefault="00205323" w:rsidP="00205323">
            <w:pPr>
              <w:jc w:val="right"/>
              <w:rPr>
                <w:rFonts w:ascii="Times New Roman" w:hAnsi="Times New Roman"/>
                <w:sz w:val="18"/>
                <w:szCs w:val="18"/>
                <w:lang w:val="en-GB" w:eastAsia="en-GB"/>
              </w:rPr>
            </w:pPr>
          </w:p>
        </w:tc>
        <w:tc>
          <w:tcPr>
            <w:tcW w:w="935" w:type="dxa"/>
            <w:noWrap/>
            <w:vAlign w:val="center"/>
          </w:tcPr>
          <w:p w:rsidR="00205323" w:rsidRPr="00174C5D" w:rsidRDefault="00205323" w:rsidP="00205323">
            <w:pPr>
              <w:jc w:val="right"/>
              <w:rPr>
                <w:rFonts w:ascii="Times New Roman" w:hAnsi="Times New Roman"/>
                <w:sz w:val="18"/>
                <w:szCs w:val="18"/>
                <w:lang w:val="en-GB" w:eastAsia="en-GB"/>
              </w:rPr>
            </w:pPr>
          </w:p>
        </w:tc>
        <w:tc>
          <w:tcPr>
            <w:tcW w:w="908" w:type="dxa"/>
            <w:noWrap/>
            <w:vAlign w:val="center"/>
          </w:tcPr>
          <w:p w:rsidR="00205323" w:rsidRPr="00174C5D" w:rsidRDefault="00205323" w:rsidP="00205323">
            <w:pPr>
              <w:jc w:val="right"/>
              <w:rPr>
                <w:rFonts w:ascii="Times New Roman" w:hAnsi="Times New Roman"/>
                <w:sz w:val="18"/>
                <w:szCs w:val="18"/>
                <w:lang w:val="en-GB" w:eastAsia="en-GB"/>
              </w:rPr>
            </w:pPr>
          </w:p>
        </w:tc>
        <w:tc>
          <w:tcPr>
            <w:tcW w:w="992" w:type="dxa"/>
            <w:noWrap/>
            <w:vAlign w:val="center"/>
          </w:tcPr>
          <w:p w:rsidR="00205323" w:rsidRPr="00174C5D" w:rsidRDefault="00205323" w:rsidP="00205323">
            <w:pPr>
              <w:jc w:val="right"/>
              <w:rPr>
                <w:rFonts w:ascii="Times New Roman" w:hAnsi="Times New Roman"/>
                <w:sz w:val="18"/>
                <w:szCs w:val="18"/>
                <w:lang w:val="en-GB" w:eastAsia="en-GB"/>
              </w:rPr>
            </w:pPr>
          </w:p>
        </w:tc>
        <w:tc>
          <w:tcPr>
            <w:tcW w:w="980" w:type="dxa"/>
          </w:tcPr>
          <w:p w:rsidR="00205323" w:rsidRPr="00174C5D" w:rsidRDefault="00205323" w:rsidP="00205323">
            <w:pPr>
              <w:jc w:val="center"/>
              <w:rPr>
                <w:rFonts w:ascii="Times New Roman" w:hAnsi="Times New Roman"/>
                <w:sz w:val="18"/>
                <w:szCs w:val="18"/>
                <w:lang w:val="en-GB" w:eastAsia="en-GB"/>
              </w:rPr>
            </w:pPr>
          </w:p>
        </w:tc>
        <w:tc>
          <w:tcPr>
            <w:tcW w:w="436" w:type="dxa"/>
            <w:noWrap/>
            <w:vAlign w:val="center"/>
          </w:tcPr>
          <w:p w:rsidR="00205323" w:rsidRPr="00174C5D" w:rsidRDefault="00205323" w:rsidP="00205323">
            <w:pPr>
              <w:jc w:val="center"/>
              <w:rPr>
                <w:rFonts w:ascii="Times New Roman" w:hAnsi="Times New Roman"/>
                <w:sz w:val="18"/>
                <w:szCs w:val="18"/>
                <w:lang w:val="en-GB" w:eastAsia="en-GB"/>
              </w:rPr>
            </w:pPr>
          </w:p>
        </w:tc>
      </w:tr>
      <w:tr w:rsidR="00205323" w:rsidRPr="00174C5D" w:rsidTr="005D2135">
        <w:tc>
          <w:tcPr>
            <w:tcW w:w="7560" w:type="dxa"/>
            <w:gridSpan w:val="6"/>
            <w:shd w:val="clear" w:color="auto" w:fill="D9D9D9"/>
            <w:noWrap/>
            <w:vAlign w:val="center"/>
          </w:tcPr>
          <w:p w:rsidR="00205323" w:rsidRPr="00174C5D" w:rsidRDefault="00205323" w:rsidP="009332C4">
            <w:pPr>
              <w:jc w:val="left"/>
              <w:rPr>
                <w:rFonts w:ascii="Times New Roman" w:hAnsi="Times New Roman"/>
                <w:b/>
                <w:bCs/>
                <w:sz w:val="18"/>
                <w:szCs w:val="18"/>
                <w:lang w:eastAsia="en-GB"/>
              </w:rPr>
            </w:pPr>
            <w:r w:rsidRPr="00174C5D">
              <w:rPr>
                <w:rFonts w:ascii="Times New Roman" w:hAnsi="Times New Roman"/>
                <w:b/>
                <w:bCs/>
                <w:sz w:val="18"/>
                <w:szCs w:val="18"/>
              </w:rPr>
              <w:t>GRAND TOTAL (en numéraire)</w:t>
            </w:r>
          </w:p>
        </w:tc>
        <w:tc>
          <w:tcPr>
            <w:tcW w:w="1010" w:type="dxa"/>
            <w:shd w:val="clear" w:color="auto" w:fill="D9D9D9"/>
            <w:noWrap/>
            <w:vAlign w:val="bottom"/>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1 893 000</w:t>
            </w:r>
          </w:p>
        </w:tc>
        <w:tc>
          <w:tcPr>
            <w:tcW w:w="935" w:type="dxa"/>
            <w:shd w:val="clear" w:color="auto" w:fill="D9D9D9"/>
            <w:noWrap/>
            <w:vAlign w:val="bottom"/>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517 000</w:t>
            </w:r>
          </w:p>
        </w:tc>
        <w:tc>
          <w:tcPr>
            <w:tcW w:w="908" w:type="dxa"/>
            <w:shd w:val="clear" w:color="auto" w:fill="D9D9D9"/>
            <w:noWrap/>
            <w:vAlign w:val="bottom"/>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401 706</w:t>
            </w:r>
          </w:p>
        </w:tc>
        <w:tc>
          <w:tcPr>
            <w:tcW w:w="992" w:type="dxa"/>
            <w:shd w:val="clear" w:color="auto" w:fill="D9D9D9"/>
            <w:noWrap/>
            <w:vAlign w:val="bottom"/>
          </w:tcPr>
          <w:p w:rsidR="00205323" w:rsidRPr="00174C5D" w:rsidRDefault="00205323" w:rsidP="00205323">
            <w:pPr>
              <w:jc w:val="right"/>
              <w:rPr>
                <w:rFonts w:ascii="Times New Roman" w:hAnsi="Times New Roman"/>
                <w:b/>
                <w:bCs/>
                <w:sz w:val="18"/>
                <w:szCs w:val="18"/>
              </w:rPr>
            </w:pPr>
            <w:r w:rsidRPr="00174C5D">
              <w:rPr>
                <w:rFonts w:ascii="Times New Roman" w:hAnsi="Times New Roman"/>
                <w:b/>
                <w:bCs/>
                <w:sz w:val="18"/>
                <w:szCs w:val="18"/>
              </w:rPr>
              <w:t>336 000</w:t>
            </w:r>
          </w:p>
        </w:tc>
        <w:tc>
          <w:tcPr>
            <w:tcW w:w="980" w:type="dxa"/>
            <w:shd w:val="clear" w:color="auto" w:fill="D9D9D9"/>
          </w:tcPr>
          <w:p w:rsidR="00205323" w:rsidRPr="00174C5D" w:rsidRDefault="00205323" w:rsidP="00205323">
            <w:pPr>
              <w:jc w:val="center"/>
              <w:rPr>
                <w:rFonts w:ascii="Times New Roman" w:hAnsi="Times New Roman"/>
                <w:b/>
                <w:bCs/>
                <w:sz w:val="18"/>
                <w:szCs w:val="18"/>
                <w:lang w:eastAsia="en-GB"/>
              </w:rPr>
            </w:pPr>
            <w:r w:rsidRPr="00174C5D">
              <w:rPr>
                <w:rFonts w:ascii="Times New Roman" w:hAnsi="Times New Roman"/>
                <w:b/>
                <w:bCs/>
                <w:sz w:val="18"/>
                <w:szCs w:val="18"/>
                <w:lang w:eastAsia="en-GB"/>
              </w:rPr>
              <w:t>3 147 706</w:t>
            </w:r>
          </w:p>
        </w:tc>
        <w:tc>
          <w:tcPr>
            <w:tcW w:w="436" w:type="dxa"/>
            <w:shd w:val="clear" w:color="auto" w:fill="D9D9D9"/>
            <w:noWrap/>
            <w:vAlign w:val="center"/>
          </w:tcPr>
          <w:p w:rsidR="00205323" w:rsidRPr="00174C5D" w:rsidRDefault="00205323" w:rsidP="00205323">
            <w:pPr>
              <w:rPr>
                <w:rFonts w:ascii="Times New Roman" w:hAnsi="Times New Roman"/>
                <w:b/>
                <w:bCs/>
                <w:sz w:val="18"/>
                <w:szCs w:val="18"/>
                <w:lang w:val="en-GB" w:eastAsia="en-GB"/>
              </w:rPr>
            </w:pPr>
            <w:r w:rsidRPr="00174C5D">
              <w:rPr>
                <w:rFonts w:ascii="Times New Roman" w:hAnsi="Times New Roman"/>
                <w:b/>
                <w:bCs/>
                <w:sz w:val="18"/>
                <w:szCs w:val="18"/>
                <w:lang w:val="en-GB" w:eastAsia="en-GB"/>
              </w:rPr>
              <w:t> </w:t>
            </w:r>
          </w:p>
        </w:tc>
      </w:tr>
    </w:tbl>
    <w:p w:rsidR="00205323" w:rsidRPr="00174C5D" w:rsidRDefault="00205323" w:rsidP="00205323">
      <w:pPr>
        <w:rPr>
          <w:rFonts w:ascii="Times New Roman" w:hAnsi="Times New Roman"/>
          <w:b/>
          <w:bCs/>
          <w:szCs w:val="22"/>
          <w:u w:val="single"/>
          <w:lang w:val="en-GB"/>
        </w:rPr>
      </w:pPr>
    </w:p>
    <w:p w:rsidR="00205323" w:rsidRPr="00174C5D" w:rsidRDefault="00205323" w:rsidP="00205323">
      <w:pPr>
        <w:rPr>
          <w:rFonts w:ascii="Times New Roman" w:hAnsi="Times New Roman"/>
          <w:b/>
          <w:bCs/>
          <w:szCs w:val="22"/>
          <w:u w:val="single"/>
          <w:lang w:val="en-GB"/>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041"/>
      </w:tblGrid>
      <w:tr w:rsidR="00205323" w:rsidRPr="00174C5D" w:rsidTr="00205323">
        <w:trPr>
          <w:trHeight w:val="255"/>
          <w:tblHeader/>
        </w:trPr>
        <w:tc>
          <w:tcPr>
            <w:tcW w:w="851" w:type="dxa"/>
            <w:shd w:val="clear" w:color="auto" w:fill="D9D9D9"/>
            <w:noWrap/>
          </w:tcPr>
          <w:p w:rsidR="00205323" w:rsidRPr="00174C5D" w:rsidRDefault="00205323" w:rsidP="00205323">
            <w:pPr>
              <w:rPr>
                <w:rFonts w:ascii="Times New Roman" w:hAnsi="Times New Roman"/>
                <w:b/>
                <w:sz w:val="20"/>
                <w:szCs w:val="20"/>
                <w:lang w:val="en-GB" w:eastAsia="en-GB"/>
              </w:rPr>
            </w:pPr>
            <w:r w:rsidRPr="00174C5D">
              <w:rPr>
                <w:rFonts w:ascii="Times New Roman" w:hAnsi="Times New Roman"/>
                <w:b/>
                <w:sz w:val="20"/>
                <w:szCs w:val="20"/>
                <w:lang w:val="en-GB" w:eastAsia="en-GB"/>
              </w:rPr>
              <w:t> </w:t>
            </w:r>
          </w:p>
        </w:tc>
        <w:tc>
          <w:tcPr>
            <w:tcW w:w="13041" w:type="dxa"/>
            <w:shd w:val="clear" w:color="auto" w:fill="D9D9D9"/>
            <w:noWrap/>
          </w:tcPr>
          <w:p w:rsidR="00205323" w:rsidRPr="00174C5D" w:rsidRDefault="00205323" w:rsidP="00205323">
            <w:pPr>
              <w:rPr>
                <w:rFonts w:ascii="Times New Roman" w:hAnsi="Times New Roman"/>
                <w:b/>
                <w:sz w:val="20"/>
                <w:szCs w:val="20"/>
                <w:lang w:val="en-GB" w:eastAsia="en-GB"/>
              </w:rPr>
            </w:pPr>
            <w:r w:rsidRPr="00174C5D">
              <w:rPr>
                <w:rFonts w:ascii="Times New Roman" w:hAnsi="Times New Roman"/>
                <w:b/>
                <w:bCs/>
                <w:sz w:val="20"/>
                <w:szCs w:val="20"/>
              </w:rPr>
              <w:t>Notes de budget</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a</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 xml:space="preserve">Coûts partiels du NR CTA (Assistant technique principal) et des consultants internationaux pour le cadre politique/légal/réglementaire. </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b</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Assistance du</w:t>
            </w:r>
            <w:r w:rsidRPr="00174C5D">
              <w:rPr>
                <w:rFonts w:ascii="Times New Roman" w:hAnsi="Times New Roman"/>
                <w:szCs w:val="22"/>
              </w:rPr>
              <w:t xml:space="preserve"> </w:t>
            </w:r>
            <w:r w:rsidRPr="00174C5D">
              <w:rPr>
                <w:rFonts w:ascii="Times New Roman" w:hAnsi="Times New Roman"/>
                <w:sz w:val="20"/>
                <w:szCs w:val="20"/>
              </w:rPr>
              <w:t>NR CTA et des consultants internationaux pour le cadre politique/légal/réglementaire.</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c</w:t>
            </w:r>
          </w:p>
        </w:tc>
        <w:tc>
          <w:tcPr>
            <w:tcW w:w="13041" w:type="dxa"/>
            <w:noWrap/>
          </w:tcPr>
          <w:p w:rsidR="00205323" w:rsidRPr="00865A23" w:rsidRDefault="00205323" w:rsidP="00205323">
            <w:pPr>
              <w:rPr>
                <w:rFonts w:ascii="Times New Roman" w:hAnsi="Times New Roman"/>
                <w:color w:val="000000"/>
                <w:sz w:val="20"/>
                <w:szCs w:val="20"/>
                <w:lang w:eastAsia="en-GB"/>
              </w:rPr>
            </w:pPr>
            <w:r w:rsidRPr="00174C5D">
              <w:rPr>
                <w:rFonts w:ascii="Times New Roman" w:hAnsi="Times New Roman"/>
                <w:color w:val="000000"/>
                <w:sz w:val="20"/>
                <w:szCs w:val="20"/>
              </w:rPr>
              <w:t>Déplacements au niveau national vers les sites de projet pour l'évaluation du marché potentiel des ressources en biogaz.</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lastRenderedPageBreak/>
              <w:t>d</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Publication du document politique, des supports de formation, du potentiel des ressources en biogaz, etc.</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e</w:t>
            </w:r>
          </w:p>
        </w:tc>
        <w:tc>
          <w:tcPr>
            <w:tcW w:w="13041" w:type="dxa"/>
            <w:noWrap/>
          </w:tcPr>
          <w:p w:rsidR="00205323" w:rsidRPr="004F2CBA" w:rsidRDefault="00205323" w:rsidP="00205323">
            <w:pPr>
              <w:rPr>
                <w:rFonts w:ascii="Times New Roman" w:hAnsi="Times New Roman"/>
                <w:sz w:val="20"/>
                <w:szCs w:val="20"/>
                <w:lang w:val="es-ES_tradnl" w:eastAsia="en-GB"/>
              </w:rPr>
            </w:pPr>
            <w:r w:rsidRPr="00174C5D">
              <w:rPr>
                <w:rFonts w:ascii="Times New Roman" w:hAnsi="Times New Roman"/>
                <w:sz w:val="20"/>
                <w:szCs w:val="20"/>
              </w:rPr>
              <w:t>Services contractuels afin de faciliter le développement des capacités des décideurs/parties prenantes.</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g</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Coûts partiels du NR CTA et des consultants pour le FSM.</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h</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Consultants locaux afin de faciliter la mise au point des incitations financières.</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i</w:t>
            </w:r>
          </w:p>
        </w:tc>
        <w:tc>
          <w:tcPr>
            <w:tcW w:w="13041" w:type="dxa"/>
            <w:noWrap/>
          </w:tcPr>
          <w:p w:rsidR="00205323" w:rsidRPr="00865A23" w:rsidRDefault="00205323" w:rsidP="00205323">
            <w:pPr>
              <w:rPr>
                <w:rFonts w:ascii="Times New Roman" w:hAnsi="Times New Roman"/>
                <w:color w:val="000000"/>
                <w:sz w:val="20"/>
                <w:szCs w:val="20"/>
                <w:lang w:eastAsia="en-GB"/>
              </w:rPr>
            </w:pPr>
            <w:r w:rsidRPr="00174C5D">
              <w:rPr>
                <w:rFonts w:ascii="Times New Roman" w:hAnsi="Times New Roman"/>
                <w:color w:val="000000"/>
                <w:sz w:val="20"/>
                <w:szCs w:val="20"/>
              </w:rPr>
              <w:t>Déplacements au niveau national vers les sites de projet.</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j</w:t>
            </w:r>
          </w:p>
        </w:tc>
        <w:tc>
          <w:tcPr>
            <w:tcW w:w="13041" w:type="dxa"/>
            <w:noWrap/>
          </w:tcPr>
          <w:p w:rsidR="00205323" w:rsidRPr="00174C5D" w:rsidRDefault="00205323" w:rsidP="00205323">
            <w:pPr>
              <w:rPr>
                <w:rFonts w:ascii="Times New Roman" w:hAnsi="Times New Roman"/>
                <w:sz w:val="20"/>
                <w:szCs w:val="20"/>
                <w:lang w:val="en-GB" w:eastAsia="en-GB"/>
              </w:rPr>
            </w:pPr>
            <w:r w:rsidRPr="00174C5D">
              <w:rPr>
                <w:rFonts w:ascii="Times New Roman" w:hAnsi="Times New Roman"/>
                <w:sz w:val="20"/>
                <w:szCs w:val="20"/>
              </w:rPr>
              <w:t xml:space="preserve">Mécanisme de soutien financier (FSM - Financial Support </w:t>
            </w:r>
            <w:r w:rsidR="007562CF" w:rsidRPr="00174C5D">
              <w:rPr>
                <w:rFonts w:ascii="Times New Roman" w:hAnsi="Times New Roman"/>
                <w:sz w:val="20"/>
                <w:szCs w:val="20"/>
              </w:rPr>
              <w:t>Mécanisme</w:t>
            </w:r>
            <w:r w:rsidRPr="00174C5D">
              <w:rPr>
                <w:rFonts w:ascii="Times New Roman" w:hAnsi="Times New Roman"/>
                <w:sz w:val="20"/>
                <w:szCs w:val="20"/>
              </w:rPr>
              <w:t>) – FEM. Micro-prêts en accord avec la politique en vigueur.</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k</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Équipement et meubles pour la facilitation des activités.</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l</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Logiciel informatique pour la facilitation des activités.</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n</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Mécanisme de soutien financier (FSM - Financial Support Mechanism) – PNUD.</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o</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Coûts partiels du NR CTA et des consultants pour le développement des capacités des institutions de crédit, des techniciens en biogaz, etc.</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p</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 xml:space="preserve">Consultants locaux pour faciliter le développement des capacités. </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q</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Déplacements au niveau national vers les sites de projet.</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r</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Services contractuels pour une campagne de sensibilisation publique.</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s</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 xml:space="preserve">Équipement et logiciel pour les modules de formation. </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t</w:t>
            </w:r>
          </w:p>
        </w:tc>
        <w:tc>
          <w:tcPr>
            <w:tcW w:w="13041" w:type="dxa"/>
            <w:noWrap/>
          </w:tcPr>
          <w:p w:rsidR="00205323" w:rsidRPr="00865A23" w:rsidRDefault="00205323" w:rsidP="00205323">
            <w:pPr>
              <w:rPr>
                <w:rFonts w:ascii="Times New Roman" w:hAnsi="Times New Roman"/>
                <w:sz w:val="20"/>
                <w:szCs w:val="20"/>
                <w:lang w:eastAsia="en-GB"/>
              </w:rPr>
            </w:pPr>
            <w:r w:rsidRPr="00174C5D">
              <w:rPr>
                <w:rFonts w:ascii="Times New Roman" w:hAnsi="Times New Roman"/>
                <w:sz w:val="20"/>
                <w:szCs w:val="20"/>
              </w:rPr>
              <w:t>Informatique pour la création d'une base de données du projet et d'autres utilisations : ordinateurs, imprimantes, GPS, logiciels.</w:t>
            </w:r>
          </w:p>
        </w:tc>
      </w:tr>
      <w:tr w:rsidR="00205323" w:rsidRPr="00174C5D" w:rsidTr="00205323">
        <w:trPr>
          <w:trHeight w:val="255"/>
        </w:trPr>
        <w:tc>
          <w:tcPr>
            <w:tcW w:w="851" w:type="dxa"/>
            <w:noWrap/>
          </w:tcPr>
          <w:p w:rsidR="00205323" w:rsidRPr="00174C5D" w:rsidRDefault="00205323" w:rsidP="00205323">
            <w:pPr>
              <w:jc w:val="center"/>
              <w:rPr>
                <w:rFonts w:ascii="Times New Roman" w:hAnsi="Times New Roman"/>
                <w:sz w:val="20"/>
                <w:szCs w:val="20"/>
                <w:lang w:val="en-GB" w:eastAsia="en-GB"/>
              </w:rPr>
            </w:pPr>
            <w:r w:rsidRPr="00174C5D">
              <w:rPr>
                <w:rFonts w:ascii="Times New Roman" w:hAnsi="Times New Roman"/>
                <w:sz w:val="20"/>
                <w:szCs w:val="20"/>
              </w:rPr>
              <w:t>v</w:t>
            </w:r>
          </w:p>
        </w:tc>
        <w:tc>
          <w:tcPr>
            <w:tcW w:w="13041" w:type="dxa"/>
            <w:noWrap/>
          </w:tcPr>
          <w:p w:rsidR="00205323" w:rsidRPr="004F2CBA" w:rsidRDefault="00205323" w:rsidP="00205323">
            <w:pPr>
              <w:rPr>
                <w:rFonts w:ascii="Times New Roman" w:hAnsi="Times New Roman"/>
                <w:sz w:val="20"/>
                <w:szCs w:val="20"/>
                <w:lang w:val="es-ES_tradnl" w:eastAsia="en-GB"/>
              </w:rPr>
            </w:pPr>
            <w:r w:rsidRPr="00174C5D">
              <w:rPr>
                <w:rFonts w:ascii="Times New Roman" w:hAnsi="Times New Roman"/>
                <w:sz w:val="20"/>
                <w:szCs w:val="20"/>
              </w:rPr>
              <w:t>Coûts liés à la gestion du projet</w:t>
            </w:r>
          </w:p>
        </w:tc>
      </w:tr>
    </w:tbl>
    <w:p w:rsidR="00205323" w:rsidRPr="004F2CBA" w:rsidRDefault="00205323" w:rsidP="00205323">
      <w:pPr>
        <w:rPr>
          <w:rFonts w:ascii="Times New Roman" w:eastAsia="SimSun" w:hAnsi="Times New Roman"/>
          <w:b/>
          <w:bCs/>
          <w:szCs w:val="22"/>
          <w:u w:val="single"/>
          <w:lang w:val="es-ES_tradnl"/>
        </w:rPr>
      </w:pPr>
    </w:p>
    <w:p w:rsidR="00205323" w:rsidRPr="00174C5D" w:rsidRDefault="00205323" w:rsidP="00205323">
      <w:pPr>
        <w:rPr>
          <w:rFonts w:ascii="Times New Roman" w:eastAsia="SimSun" w:hAnsi="Times New Roman"/>
          <w:b/>
          <w:bCs/>
          <w:szCs w:val="22"/>
          <w:u w:val="single"/>
          <w:lang w:val="en-GB"/>
        </w:rPr>
      </w:pPr>
      <w:r w:rsidRPr="00174C5D">
        <w:rPr>
          <w:rFonts w:ascii="Times New Roman" w:hAnsi="Times New Roman"/>
          <w:b/>
          <w:bCs/>
          <w:szCs w:val="22"/>
          <w:u w:val="single"/>
        </w:rPr>
        <w:t>Synthèse des fonds :</w:t>
      </w:r>
      <w:r w:rsidRPr="00174C5D">
        <w:rPr>
          <w:rFonts w:ascii="Times New Roman" w:hAnsi="Times New Roman"/>
          <w:b/>
          <w:bCs/>
          <w:szCs w:val="22"/>
          <w:u w:val="single"/>
          <w:vertAlign w:val="superscript"/>
        </w:rPr>
        <w:t xml:space="preserve"> </w:t>
      </w:r>
    </w:p>
    <w:p w:rsidR="00205323" w:rsidRPr="00174C5D" w:rsidRDefault="00205323" w:rsidP="00205323">
      <w:pPr>
        <w:rPr>
          <w:rFonts w:ascii="Times New Roman" w:hAnsi="Times New Roman"/>
          <w:szCs w:val="22"/>
          <w:lang w:val="en-GB"/>
        </w:rPr>
      </w:pPr>
    </w:p>
    <w:tbl>
      <w:tblPr>
        <w:tblW w:w="10057" w:type="dxa"/>
        <w:tblInd w:w="-72" w:type="dxa"/>
        <w:tblLayout w:type="fixed"/>
        <w:tblLook w:val="0000" w:firstRow="0" w:lastRow="0" w:firstColumn="0" w:lastColumn="0" w:noHBand="0" w:noVBand="0"/>
      </w:tblPr>
      <w:tblGrid>
        <w:gridCol w:w="2767"/>
        <w:gridCol w:w="1440"/>
        <w:gridCol w:w="1530"/>
        <w:gridCol w:w="1530"/>
        <w:gridCol w:w="1440"/>
        <w:gridCol w:w="1350"/>
      </w:tblGrid>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eastAsia="SimSun" w:hAnsi="Times New Roman"/>
                <w:szCs w:val="22"/>
                <w:lang w:val="en-GB"/>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Montant ($)</w:t>
            </w:r>
          </w:p>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An 1</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Montant ($)</w:t>
            </w:r>
          </w:p>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An 2</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Montant ($)</w:t>
            </w:r>
          </w:p>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An 3</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Montant ($)</w:t>
            </w:r>
          </w:p>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An 4</w:t>
            </w:r>
          </w:p>
        </w:tc>
        <w:tc>
          <w:tcPr>
            <w:tcW w:w="135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eastAsia="SimSun" w:hAnsi="Times New Roman"/>
                <w:b/>
                <w:szCs w:val="22"/>
                <w:lang w:val="en-GB"/>
              </w:rPr>
            </w:pPr>
            <w:r w:rsidRPr="00174C5D">
              <w:rPr>
                <w:rFonts w:ascii="Times New Roman" w:hAnsi="Times New Roman"/>
                <w:b/>
                <w:bCs/>
                <w:szCs w:val="22"/>
              </w:rPr>
              <w:t>Total ($)</w:t>
            </w:r>
          </w:p>
        </w:tc>
      </w:tr>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hAnsi="Times New Roman"/>
                <w:b/>
                <w:bCs/>
                <w:color w:val="000000"/>
                <w:szCs w:val="22"/>
                <w:lang w:val="en-GB"/>
              </w:rPr>
            </w:pPr>
            <w:r w:rsidRPr="00174C5D">
              <w:rPr>
                <w:rFonts w:ascii="Times New Roman" w:hAnsi="Times New Roman"/>
                <w:b/>
                <w:bCs/>
                <w:color w:val="000000"/>
                <w:szCs w:val="22"/>
              </w:rPr>
              <w:t>FEM</w:t>
            </w:r>
          </w:p>
        </w:tc>
        <w:tc>
          <w:tcPr>
            <w:tcW w:w="144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rPr>
              <w:t>1 618,000</w:t>
            </w:r>
          </w:p>
        </w:tc>
        <w:tc>
          <w:tcPr>
            <w:tcW w:w="153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rPr>
              <w:t>442 000</w:t>
            </w:r>
          </w:p>
        </w:tc>
        <w:tc>
          <w:tcPr>
            <w:tcW w:w="153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rPr>
              <w:t>326 706</w:t>
            </w:r>
          </w:p>
        </w:tc>
        <w:tc>
          <w:tcPr>
            <w:tcW w:w="144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rPr>
              <w:t>261 000</w:t>
            </w:r>
          </w:p>
        </w:tc>
        <w:tc>
          <w:tcPr>
            <w:tcW w:w="135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bCs/>
                <w:color w:val="000000"/>
                <w:szCs w:val="22"/>
              </w:rPr>
            </w:pPr>
            <w:r w:rsidRPr="00174C5D">
              <w:rPr>
                <w:rFonts w:ascii="Times New Roman" w:hAnsi="Times New Roman"/>
              </w:rPr>
              <w:t>2 647 706</w:t>
            </w:r>
          </w:p>
        </w:tc>
      </w:tr>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hAnsi="Times New Roman"/>
                <w:b/>
                <w:color w:val="000000"/>
                <w:szCs w:val="22"/>
                <w:lang w:val="en-GB"/>
              </w:rPr>
            </w:pPr>
            <w:r w:rsidRPr="00174C5D">
              <w:rPr>
                <w:rFonts w:ascii="Times New Roman" w:hAnsi="Times New Roman"/>
                <w:b/>
                <w:bCs/>
                <w:color w:val="000000"/>
                <w:szCs w:val="22"/>
              </w:rPr>
              <w:t xml:space="preserve">PNUD </w:t>
            </w:r>
          </w:p>
        </w:tc>
        <w:tc>
          <w:tcPr>
            <w:tcW w:w="144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szCs w:val="22"/>
              </w:rPr>
              <w:t>275 000</w:t>
            </w:r>
          </w:p>
        </w:tc>
        <w:tc>
          <w:tcPr>
            <w:tcW w:w="153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szCs w:val="22"/>
              </w:rPr>
              <w:t>75 000</w:t>
            </w:r>
          </w:p>
        </w:tc>
        <w:tc>
          <w:tcPr>
            <w:tcW w:w="153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szCs w:val="22"/>
              </w:rPr>
              <w:t>75 000</w:t>
            </w:r>
          </w:p>
        </w:tc>
        <w:tc>
          <w:tcPr>
            <w:tcW w:w="144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color w:val="000000"/>
                <w:szCs w:val="22"/>
              </w:rPr>
            </w:pPr>
            <w:r w:rsidRPr="00174C5D">
              <w:rPr>
                <w:rFonts w:ascii="Times New Roman" w:hAnsi="Times New Roman"/>
                <w:szCs w:val="22"/>
              </w:rPr>
              <w:t>75 000</w:t>
            </w:r>
          </w:p>
        </w:tc>
        <w:tc>
          <w:tcPr>
            <w:tcW w:w="1350" w:type="dxa"/>
            <w:tcBorders>
              <w:top w:val="single" w:sz="4" w:space="0" w:color="auto"/>
              <w:left w:val="single" w:sz="4" w:space="0" w:color="auto"/>
              <w:bottom w:val="single" w:sz="4" w:space="0" w:color="auto"/>
              <w:right w:val="single" w:sz="4" w:space="0" w:color="auto"/>
            </w:tcBorders>
            <w:noWrap/>
          </w:tcPr>
          <w:p w:rsidR="00205323" w:rsidRPr="00174C5D" w:rsidRDefault="00205323" w:rsidP="00205323">
            <w:pPr>
              <w:jc w:val="center"/>
              <w:rPr>
                <w:rFonts w:ascii="Times New Roman" w:hAnsi="Times New Roman"/>
                <w:bCs/>
                <w:color w:val="000000"/>
                <w:szCs w:val="22"/>
              </w:rPr>
            </w:pPr>
            <w:r w:rsidRPr="00174C5D">
              <w:rPr>
                <w:rFonts w:ascii="Times New Roman" w:hAnsi="Times New Roman"/>
              </w:rPr>
              <w:t>500 000</w:t>
            </w:r>
          </w:p>
        </w:tc>
      </w:tr>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hAnsi="Times New Roman"/>
                <w:b/>
                <w:bCs/>
                <w:color w:val="000000"/>
                <w:szCs w:val="22"/>
                <w:lang w:val="en-GB"/>
              </w:rPr>
            </w:pPr>
            <w:r w:rsidRPr="00174C5D">
              <w:rPr>
                <w:rFonts w:ascii="Times New Roman" w:hAnsi="Times New Roman"/>
                <w:b/>
                <w:bCs/>
                <w:color w:val="000000"/>
                <w:szCs w:val="22"/>
              </w:rPr>
              <w:t>Gouvernement national</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125 000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125 000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125 000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125 000</w:t>
            </w:r>
          </w:p>
        </w:tc>
        <w:tc>
          <w:tcPr>
            <w:tcW w:w="135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Cs/>
                <w:color w:val="000000"/>
                <w:szCs w:val="22"/>
              </w:rPr>
            </w:pPr>
            <w:r w:rsidRPr="00174C5D">
              <w:rPr>
                <w:rFonts w:ascii="Times New Roman" w:hAnsi="Times New Roman"/>
                <w:bCs/>
                <w:color w:val="000000"/>
                <w:szCs w:val="22"/>
              </w:rPr>
              <w:t>500 000</w:t>
            </w:r>
          </w:p>
        </w:tc>
      </w:tr>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hAnsi="Times New Roman"/>
                <w:b/>
                <w:bCs/>
                <w:color w:val="000000"/>
                <w:szCs w:val="22"/>
                <w:lang w:val="en-GB"/>
              </w:rPr>
            </w:pPr>
            <w:r w:rsidRPr="00174C5D">
              <w:rPr>
                <w:rFonts w:ascii="Times New Roman" w:hAnsi="Times New Roman"/>
                <w:b/>
                <w:bCs/>
                <w:color w:val="000000"/>
                <w:szCs w:val="22"/>
              </w:rPr>
              <w:t>Gouv. nat. (PRONIASE)</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1 000 000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2 000 000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3 000 000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1 500 000</w:t>
            </w:r>
          </w:p>
        </w:tc>
        <w:tc>
          <w:tcPr>
            <w:tcW w:w="135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Cs/>
                <w:color w:val="000000"/>
                <w:szCs w:val="22"/>
              </w:rPr>
            </w:pPr>
            <w:r w:rsidRPr="00174C5D">
              <w:rPr>
                <w:rFonts w:ascii="Times New Roman" w:hAnsi="Times New Roman"/>
                <w:bCs/>
                <w:color w:val="000000"/>
                <w:szCs w:val="22"/>
              </w:rPr>
              <w:t>7 500 000</w:t>
            </w:r>
          </w:p>
        </w:tc>
      </w:tr>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hAnsi="Times New Roman"/>
                <w:b/>
                <w:bCs/>
                <w:color w:val="000000"/>
                <w:szCs w:val="22"/>
                <w:lang w:val="en-GB"/>
              </w:rPr>
            </w:pPr>
            <w:r w:rsidRPr="00174C5D">
              <w:rPr>
                <w:rFonts w:ascii="Times New Roman" w:hAnsi="Times New Roman"/>
                <w:b/>
                <w:bCs/>
                <w:color w:val="000000"/>
                <w:szCs w:val="22"/>
              </w:rPr>
              <w:t>CERESCOR/Université</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250 000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250 000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250 000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250 000</w:t>
            </w:r>
          </w:p>
        </w:tc>
        <w:tc>
          <w:tcPr>
            <w:tcW w:w="135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Cs/>
                <w:color w:val="000000"/>
                <w:szCs w:val="22"/>
              </w:rPr>
            </w:pPr>
            <w:r w:rsidRPr="00174C5D">
              <w:rPr>
                <w:rFonts w:ascii="Times New Roman" w:hAnsi="Times New Roman"/>
                <w:bCs/>
                <w:color w:val="000000"/>
                <w:szCs w:val="22"/>
              </w:rPr>
              <w:t>1 ,000 000</w:t>
            </w:r>
          </w:p>
        </w:tc>
      </w:tr>
      <w:tr w:rsidR="00205323" w:rsidRPr="00174C5D" w:rsidTr="00205323">
        <w:trPr>
          <w:cantSplit/>
        </w:trPr>
        <w:tc>
          <w:tcPr>
            <w:tcW w:w="2767"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hAnsi="Times New Roman"/>
                <w:b/>
                <w:bCs/>
                <w:color w:val="000000"/>
                <w:szCs w:val="22"/>
                <w:lang w:val="en-GB"/>
              </w:rPr>
            </w:pPr>
            <w:r w:rsidRPr="00174C5D">
              <w:rPr>
                <w:rFonts w:ascii="Times New Roman" w:hAnsi="Times New Roman"/>
                <w:b/>
                <w:bCs/>
                <w:color w:val="000000"/>
                <w:szCs w:val="22"/>
              </w:rPr>
              <w:t>Secteur privé</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200 000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400 000</w:t>
            </w:r>
          </w:p>
        </w:tc>
        <w:tc>
          <w:tcPr>
            <w:tcW w:w="153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600 000</w:t>
            </w:r>
          </w:p>
        </w:tc>
        <w:tc>
          <w:tcPr>
            <w:tcW w:w="144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color w:val="000000"/>
                <w:szCs w:val="22"/>
              </w:rPr>
            </w:pPr>
            <w:r w:rsidRPr="00174C5D">
              <w:rPr>
                <w:rFonts w:ascii="Times New Roman" w:hAnsi="Times New Roman"/>
                <w:color w:val="000000"/>
                <w:szCs w:val="22"/>
              </w:rPr>
              <w:t>300 000</w:t>
            </w:r>
          </w:p>
        </w:tc>
        <w:tc>
          <w:tcPr>
            <w:tcW w:w="1350" w:type="dxa"/>
            <w:tcBorders>
              <w:top w:val="sing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Cs/>
                <w:color w:val="000000"/>
                <w:szCs w:val="22"/>
              </w:rPr>
            </w:pPr>
            <w:r w:rsidRPr="00174C5D">
              <w:rPr>
                <w:rFonts w:ascii="Times New Roman" w:hAnsi="Times New Roman"/>
                <w:bCs/>
                <w:color w:val="000000"/>
                <w:szCs w:val="22"/>
              </w:rPr>
              <w:t>1 500 000</w:t>
            </w:r>
          </w:p>
        </w:tc>
      </w:tr>
      <w:tr w:rsidR="00205323" w:rsidRPr="00174C5D" w:rsidTr="00205323">
        <w:trPr>
          <w:cantSplit/>
        </w:trPr>
        <w:tc>
          <w:tcPr>
            <w:tcW w:w="2767" w:type="dxa"/>
            <w:tcBorders>
              <w:top w:val="double" w:sz="4" w:space="0" w:color="auto"/>
              <w:left w:val="single" w:sz="4" w:space="0" w:color="auto"/>
              <w:bottom w:val="single" w:sz="4" w:space="0" w:color="auto"/>
              <w:right w:val="single" w:sz="4" w:space="0" w:color="auto"/>
            </w:tcBorders>
            <w:noWrap/>
            <w:vAlign w:val="bottom"/>
          </w:tcPr>
          <w:p w:rsidR="00205323" w:rsidRPr="00174C5D" w:rsidRDefault="00205323" w:rsidP="00205323">
            <w:pPr>
              <w:rPr>
                <w:rFonts w:ascii="Times New Roman" w:eastAsia="SimSun" w:hAnsi="Times New Roman"/>
                <w:szCs w:val="22"/>
                <w:lang w:val="en-GB"/>
              </w:rPr>
            </w:pPr>
            <w:r w:rsidRPr="00174C5D">
              <w:rPr>
                <w:rFonts w:ascii="Times New Roman" w:hAnsi="Times New Roman"/>
                <w:b/>
                <w:bCs/>
                <w:szCs w:val="22"/>
              </w:rPr>
              <w:t>TOTAL</w:t>
            </w:r>
          </w:p>
        </w:tc>
        <w:tc>
          <w:tcPr>
            <w:tcW w:w="1440" w:type="dxa"/>
            <w:tcBorders>
              <w:top w:val="doub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
                <w:color w:val="000000"/>
                <w:szCs w:val="22"/>
              </w:rPr>
            </w:pPr>
            <w:r w:rsidRPr="00174C5D">
              <w:rPr>
                <w:rFonts w:ascii="Times New Roman" w:hAnsi="Times New Roman"/>
                <w:b/>
                <w:bCs/>
                <w:color w:val="000000"/>
                <w:szCs w:val="22"/>
              </w:rPr>
              <w:t>3 468 000</w:t>
            </w:r>
          </w:p>
        </w:tc>
        <w:tc>
          <w:tcPr>
            <w:tcW w:w="1530" w:type="dxa"/>
            <w:tcBorders>
              <w:top w:val="doub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
                <w:bCs/>
                <w:color w:val="000000"/>
                <w:szCs w:val="22"/>
              </w:rPr>
            </w:pPr>
            <w:r w:rsidRPr="00174C5D">
              <w:rPr>
                <w:rFonts w:ascii="Times New Roman" w:hAnsi="Times New Roman"/>
                <w:b/>
                <w:bCs/>
                <w:color w:val="000000"/>
                <w:szCs w:val="22"/>
              </w:rPr>
              <w:t>3 292 000</w:t>
            </w:r>
          </w:p>
        </w:tc>
        <w:tc>
          <w:tcPr>
            <w:tcW w:w="1530" w:type="dxa"/>
            <w:tcBorders>
              <w:top w:val="doub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
                <w:bCs/>
                <w:color w:val="000000"/>
                <w:szCs w:val="22"/>
              </w:rPr>
            </w:pPr>
            <w:r w:rsidRPr="00174C5D">
              <w:rPr>
                <w:rFonts w:ascii="Times New Roman" w:hAnsi="Times New Roman"/>
                <w:b/>
                <w:bCs/>
                <w:color w:val="000000"/>
                <w:szCs w:val="22"/>
              </w:rPr>
              <w:t>4 376 706</w:t>
            </w:r>
          </w:p>
        </w:tc>
        <w:tc>
          <w:tcPr>
            <w:tcW w:w="1440" w:type="dxa"/>
            <w:tcBorders>
              <w:top w:val="doub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
                <w:bCs/>
                <w:color w:val="000000"/>
                <w:szCs w:val="22"/>
              </w:rPr>
            </w:pPr>
            <w:r w:rsidRPr="00174C5D">
              <w:rPr>
                <w:rFonts w:ascii="Times New Roman" w:hAnsi="Times New Roman"/>
                <w:b/>
                <w:bCs/>
                <w:color w:val="000000"/>
                <w:szCs w:val="22"/>
              </w:rPr>
              <w:t>2 511 000</w:t>
            </w:r>
          </w:p>
        </w:tc>
        <w:tc>
          <w:tcPr>
            <w:tcW w:w="1350" w:type="dxa"/>
            <w:tcBorders>
              <w:top w:val="double" w:sz="4" w:space="0" w:color="auto"/>
              <w:left w:val="single" w:sz="4" w:space="0" w:color="auto"/>
              <w:bottom w:val="single" w:sz="4" w:space="0" w:color="auto"/>
              <w:right w:val="single" w:sz="4" w:space="0" w:color="auto"/>
            </w:tcBorders>
            <w:noWrap/>
            <w:vAlign w:val="bottom"/>
          </w:tcPr>
          <w:p w:rsidR="00205323" w:rsidRPr="00174C5D" w:rsidRDefault="00205323" w:rsidP="00205323">
            <w:pPr>
              <w:jc w:val="center"/>
              <w:rPr>
                <w:rFonts w:ascii="Times New Roman" w:hAnsi="Times New Roman"/>
                <w:b/>
                <w:bCs/>
                <w:color w:val="000000"/>
                <w:szCs w:val="22"/>
              </w:rPr>
            </w:pPr>
            <w:r w:rsidRPr="00174C5D">
              <w:rPr>
                <w:rFonts w:ascii="Times New Roman" w:hAnsi="Times New Roman"/>
                <w:b/>
                <w:bCs/>
                <w:color w:val="000000"/>
                <w:szCs w:val="22"/>
              </w:rPr>
              <w:t>13 647 706</w:t>
            </w:r>
          </w:p>
        </w:tc>
      </w:tr>
    </w:tbl>
    <w:p w:rsidR="00205323" w:rsidRPr="00174C5D" w:rsidRDefault="00205323" w:rsidP="00205323">
      <w:pPr>
        <w:rPr>
          <w:rFonts w:ascii="Times New Roman" w:hAnsi="Times New Roman"/>
          <w:b/>
          <w:smallCaps/>
          <w:szCs w:val="22"/>
          <w:lang w:val="en-GB"/>
        </w:rPr>
        <w:sectPr w:rsidR="00205323" w:rsidRPr="00174C5D">
          <w:footerReference w:type="even" r:id="rId20"/>
          <w:footerReference w:type="default" r:id="rId21"/>
          <w:pgSz w:w="15840" w:h="12240" w:orient="landscape" w:code="1"/>
          <w:pgMar w:top="1440" w:right="1440" w:bottom="1411" w:left="1440" w:header="720" w:footer="432" w:gutter="0"/>
          <w:cols w:space="708"/>
          <w:titlePg/>
          <w:docGrid w:linePitch="360"/>
        </w:sectPr>
      </w:pPr>
      <w:bookmarkStart w:id="67" w:name="_Toc207800914"/>
      <w:bookmarkEnd w:id="61"/>
    </w:p>
    <w:p w:rsidR="00205323" w:rsidRPr="0001740A" w:rsidRDefault="00205323" w:rsidP="0001740A">
      <w:pPr>
        <w:pStyle w:val="Titre1"/>
        <w:rPr>
          <w:sz w:val="28"/>
          <w:szCs w:val="28"/>
          <w:lang w:val="en-GB" w:eastAsia="en-US"/>
        </w:rPr>
      </w:pPr>
      <w:bookmarkStart w:id="68" w:name="_Toc285354095"/>
      <w:bookmarkStart w:id="69" w:name="_Toc340830984"/>
      <w:bookmarkStart w:id="70" w:name="_Toc262924497"/>
      <w:bookmarkStart w:id="71" w:name="_Toc418144254"/>
      <w:bookmarkStart w:id="72" w:name="_Toc298586303"/>
      <w:r w:rsidRPr="0001740A">
        <w:rPr>
          <w:sz w:val="28"/>
          <w:szCs w:val="28"/>
          <w:lang w:val="en-GB" w:eastAsia="en-US"/>
        </w:rPr>
        <w:lastRenderedPageBreak/>
        <w:t>4. Modalités de gestion</w:t>
      </w:r>
      <w:bookmarkEnd w:id="67"/>
      <w:bookmarkEnd w:id="68"/>
      <w:bookmarkEnd w:id="69"/>
      <w:bookmarkEnd w:id="70"/>
      <w:bookmarkEnd w:id="71"/>
      <w:bookmarkEnd w:id="72"/>
    </w:p>
    <w:p w:rsidR="00205323" w:rsidRPr="004F2CBA" w:rsidRDefault="00205323" w:rsidP="00205323">
      <w:pPr>
        <w:tabs>
          <w:tab w:val="left" w:pos="519"/>
        </w:tabs>
        <w:autoSpaceDN w:val="0"/>
        <w:spacing w:after="180"/>
        <w:ind w:left="-360" w:right="-450"/>
        <w:rPr>
          <w:rFonts w:ascii="Times New Roman" w:hAnsi="Times New Roman"/>
          <w:szCs w:val="22"/>
        </w:rPr>
      </w:pPr>
      <w:r w:rsidRPr="00174C5D">
        <w:rPr>
          <w:rFonts w:ascii="Times New Roman" w:hAnsi="Times New Roman"/>
          <w:szCs w:val="22"/>
        </w:rPr>
        <w:t>Le projet sera mis en œuvre au moyen de la modalité d'exécution NEX par le Ministère chargé de l'Envir</w:t>
      </w:r>
      <w:r w:rsidR="00EF538B">
        <w:rPr>
          <w:rFonts w:ascii="Times New Roman" w:hAnsi="Times New Roman"/>
          <w:szCs w:val="22"/>
        </w:rPr>
        <w:t xml:space="preserve">onnement et des Eaux et Forêts </w:t>
      </w:r>
      <w:r w:rsidRPr="00174C5D">
        <w:rPr>
          <w:rFonts w:ascii="Times New Roman" w:hAnsi="Times New Roman"/>
          <w:szCs w:val="22"/>
        </w:rPr>
        <w:t xml:space="preserve">(Ministry of Environment, Water and Forests - MEWF) en qualité de Partenaire d'exécution national (NIP - National Implementing Partner). Le MEWF fournira des bureaux à l'équipe de projet dans le cadre de sa contribution. Le Ministère détachera un cadre senior en qualité de Directeur national du projet (NPD - National Project Director) pour : (i) assurer la coordination des activités du projet avec les activités des autres entités gouvernementales comme le Ministère de l'Énergie et de l’Hydraulique, le Ministère de l'agriculture, le Ministère de l'élevage et de la production d'animaux, l'ANAMIF et le CERESCOR ; (ii) valider les dépenses conformément aux budgets et programmes de travail ; (iii) faciliter, contrôler et rendre compte de la réalisation des contributions et de la livraison des produits ; (iv) approuver les conditions d’attribution des missions des consultants et présenter les appels d’offre pour les contributions faisant l'objet d'une sous-traitance ; et (v) rendre compte au PNUD de la réalisation et de l'impact du projet. </w:t>
      </w:r>
      <w:bookmarkStart w:id="73" w:name="_Toc143664022"/>
    </w:p>
    <w:p w:rsidR="00205323" w:rsidRPr="004F2CBA" w:rsidRDefault="00205323" w:rsidP="00205323">
      <w:pPr>
        <w:tabs>
          <w:tab w:val="left" w:pos="-360"/>
          <w:tab w:val="left" w:pos="519"/>
        </w:tabs>
        <w:autoSpaceDN w:val="0"/>
        <w:spacing w:after="180"/>
        <w:ind w:left="-360" w:right="-450"/>
        <w:rPr>
          <w:rFonts w:ascii="Times New Roman" w:hAnsi="Times New Roman"/>
          <w:szCs w:val="22"/>
        </w:rPr>
      </w:pPr>
      <w:r w:rsidRPr="00174C5D">
        <w:rPr>
          <w:rFonts w:ascii="Times New Roman" w:hAnsi="Times New Roman"/>
          <w:szCs w:val="22"/>
        </w:rPr>
        <w:t>Le Directeur national du projet sera assisté par une Unité de gestion du programme avec à sa tête un Chef de projet (PM - Project Manager) qui sera recruté dans le cadre d'un processus concurrentiel. Le PM sera chargé de la coordination et de la mise en œuvre globales du projet, de la consolidation des programmes de travail et des documents du projet, de la préparation des rapports trimestriels d'état d'avancement, d'une reddition des comptes auprès des organes de surveillance du projet, et de la supervision des travaux des experts ainsi que d'autres collaborateurs du projet. Le PM assurera également une étroite coordination des activités du projet avec le Gouvernement et les autres institutions et il mettra en place sur une base régulière des consultations avec les parties prenantes du projet. D'autre part, un Assistant de projet (PA) sera recruté afin de soutenir le PM sur les questions administratives et financières.</w:t>
      </w:r>
    </w:p>
    <w:p w:rsidR="00205323" w:rsidRPr="004F2CBA" w:rsidRDefault="00205323" w:rsidP="00205323">
      <w:pPr>
        <w:tabs>
          <w:tab w:val="left" w:pos="-360"/>
          <w:tab w:val="left" w:pos="519"/>
        </w:tabs>
        <w:autoSpaceDN w:val="0"/>
        <w:spacing w:after="180"/>
        <w:ind w:left="-360" w:right="-450"/>
        <w:rPr>
          <w:rFonts w:ascii="Times New Roman" w:hAnsi="Times New Roman"/>
          <w:szCs w:val="22"/>
          <w:u w:val="single"/>
        </w:rPr>
      </w:pPr>
      <w:r w:rsidRPr="00174C5D">
        <w:rPr>
          <w:rFonts w:ascii="Times New Roman" w:hAnsi="Times New Roman"/>
          <w:szCs w:val="22"/>
        </w:rPr>
        <w:t>Le Chef de projet sera assisté par un Conseiller technique principal (CTA - Chief Technical Adviser) international à mi-temps, des experts / consultants nationaux et internationaux pour des missions à court terme, qui contribueront à la mise en œuvre d'éléments spécifiques d'assistance technique du projet. Des contacts doivent également être mis en place avec des experts et des institutions dans d'autres pays ayant d'ores et déjà acquis plus d'expérience quant à l'exécution de projets en matière de biogaz/bioénergie, ainsi que des politiques et mesures de soutien financier associées.</w:t>
      </w:r>
    </w:p>
    <w:p w:rsidR="00205323" w:rsidRPr="004F2CBA" w:rsidRDefault="00205323" w:rsidP="00205323">
      <w:pPr>
        <w:tabs>
          <w:tab w:val="left" w:pos="-360"/>
          <w:tab w:val="left" w:pos="519"/>
        </w:tabs>
        <w:autoSpaceDN w:val="0"/>
        <w:spacing w:after="180"/>
        <w:ind w:left="-360" w:right="-450"/>
        <w:rPr>
          <w:rFonts w:ascii="Times New Roman" w:hAnsi="Times New Roman"/>
          <w:szCs w:val="22"/>
        </w:rPr>
      </w:pPr>
      <w:r w:rsidRPr="00174C5D">
        <w:rPr>
          <w:rFonts w:ascii="Times New Roman" w:hAnsi="Times New Roman"/>
          <w:szCs w:val="22"/>
        </w:rPr>
        <w:t>Un Comité du projet, présidé par le Ministère chargé de l'Environnement et des Eaux et Forêts, sera constitué lors du lancement du projet afin de fournir des instructions stratégiques et une orientation de gestion pour l'exécution du projet. Il comptera des représentants des ministères et services gouvernementaux pertinents (par ex. le Ministère de l'énergie et de l’Hydraulique, le Ministère de l'agriculture, le Ministère de l'élevage et de la production d'animaux, l'ANAMIF et le CERESCOR) qui participent au projet, le Bureau pays du PNUD, le Directeur national du projet ainsi que des représentants de la communauté des ONG. Des représentants du secteur privé peuvent être invités à partic</w:t>
      </w:r>
      <w:r w:rsidR="001C66FE">
        <w:rPr>
          <w:rFonts w:ascii="Times New Roman" w:hAnsi="Times New Roman"/>
          <w:szCs w:val="22"/>
        </w:rPr>
        <w:t>iper en tant qu'observateurs.</w:t>
      </w:r>
    </w:p>
    <w:p w:rsidR="00205323" w:rsidRPr="004F2CBA" w:rsidRDefault="00205323" w:rsidP="00205323">
      <w:pPr>
        <w:tabs>
          <w:tab w:val="left" w:pos="-360"/>
          <w:tab w:val="left" w:pos="519"/>
        </w:tabs>
        <w:autoSpaceDN w:val="0"/>
        <w:spacing w:after="180"/>
        <w:ind w:left="-360" w:right="-450"/>
        <w:rPr>
          <w:rFonts w:ascii="Times New Roman" w:hAnsi="Times New Roman"/>
          <w:szCs w:val="22"/>
          <w:lang w:val="es-ES_tradnl"/>
        </w:rPr>
      </w:pPr>
      <w:r w:rsidRPr="00174C5D">
        <w:rPr>
          <w:rFonts w:ascii="Times New Roman" w:hAnsi="Times New Roman"/>
          <w:szCs w:val="22"/>
        </w:rPr>
        <w:t xml:space="preserve">Enfin, le Bureau Pays du PNUD apportera des services de soutien spécifique aux fins d'une exécution adéquate du projet, si besoin est, grâce à ses unités programmatiques, administratives et financières et au soutien du Centre de service régional d'Addis-Abeba. Des services d'assistance spécifique incluront un soutien pour la revue annuelle de mise en œuvre du projet (PIR - Project </w:t>
      </w:r>
      <w:r w:rsidR="007562CF" w:rsidRPr="00174C5D">
        <w:rPr>
          <w:rFonts w:ascii="Times New Roman" w:hAnsi="Times New Roman"/>
          <w:szCs w:val="22"/>
        </w:rPr>
        <w:t>Implémentation</w:t>
      </w:r>
      <w:r w:rsidRPr="00174C5D">
        <w:rPr>
          <w:rFonts w:ascii="Times New Roman" w:hAnsi="Times New Roman"/>
          <w:szCs w:val="22"/>
        </w:rPr>
        <w:t xml:space="preserve"> Review), l’examen à mi-parcours et l'évaluation finale. Un organigramme présentant les modalités de mise en œuvre figure ci-dessous.</w:t>
      </w:r>
    </w:p>
    <w:p w:rsidR="00205323" w:rsidRPr="00174C5D" w:rsidRDefault="00205323" w:rsidP="00205323">
      <w:pPr>
        <w:tabs>
          <w:tab w:val="left" w:pos="-360"/>
          <w:tab w:val="left" w:pos="519"/>
        </w:tabs>
        <w:autoSpaceDN w:val="0"/>
        <w:spacing w:after="180"/>
        <w:ind w:left="-360" w:right="-450"/>
        <w:jc w:val="center"/>
        <w:rPr>
          <w:rFonts w:ascii="Times New Roman" w:hAnsi="Times New Roman"/>
          <w:b/>
          <w:sz w:val="28"/>
          <w:szCs w:val="20"/>
          <w:lang w:val="en-GB"/>
        </w:rPr>
      </w:pPr>
      <w:r w:rsidRPr="00174C5D">
        <w:rPr>
          <w:rFonts w:ascii="Times New Roman" w:hAnsi="Times New Roman"/>
          <w:noProof/>
        </w:rPr>
        <w:lastRenderedPageBreak/>
        <w:drawing>
          <wp:inline distT="0" distB="0" distL="0" distR="0">
            <wp:extent cx="5746115" cy="3754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115" cy="3754120"/>
                    </a:xfrm>
                    <a:prstGeom prst="rect">
                      <a:avLst/>
                    </a:prstGeom>
                    <a:noFill/>
                    <a:ln>
                      <a:noFill/>
                    </a:ln>
                  </pic:spPr>
                </pic:pic>
              </a:graphicData>
            </a:graphic>
          </wp:inline>
        </w:drawing>
      </w:r>
    </w:p>
    <w:p w:rsidR="00205323" w:rsidRPr="00174C5D" w:rsidRDefault="00205323" w:rsidP="00205323">
      <w:pPr>
        <w:tabs>
          <w:tab w:val="left" w:pos="-360"/>
          <w:tab w:val="left" w:pos="519"/>
        </w:tabs>
        <w:autoSpaceDN w:val="0"/>
        <w:spacing w:after="180"/>
        <w:ind w:left="-360" w:right="-450"/>
        <w:rPr>
          <w:rFonts w:ascii="Times New Roman" w:hAnsi="Times New Roman"/>
          <w:szCs w:val="22"/>
          <w:lang w:val="en-GB"/>
        </w:rPr>
      </w:pPr>
    </w:p>
    <w:p w:rsidR="00205323" w:rsidRPr="004F2CBA" w:rsidRDefault="00205323" w:rsidP="00205323">
      <w:pPr>
        <w:tabs>
          <w:tab w:val="left" w:pos="-360"/>
          <w:tab w:val="left" w:pos="519"/>
        </w:tabs>
        <w:autoSpaceDN w:val="0"/>
        <w:spacing w:after="180"/>
        <w:ind w:left="-360" w:right="-450"/>
        <w:rPr>
          <w:rFonts w:ascii="Times New Roman" w:hAnsi="Times New Roman"/>
          <w:szCs w:val="22"/>
        </w:rPr>
      </w:pPr>
      <w:r w:rsidRPr="00174C5D">
        <w:rPr>
          <w:rFonts w:ascii="Times New Roman" w:hAnsi="Times New Roman"/>
          <w:szCs w:val="22"/>
        </w:rPr>
        <w:t>La mise en œuvre du projet sera régie par les dispositions du présent Document de projet ainsi que par les Politiques et procédures relatives au programme et aux opérations (POPP - Programme and Operations Policy and Procedure). La PNUD Guinée assurera la surveillance et la gestion du budget global du projet, au moyen de paiements directs. Les services de soutien de la PNUD Guinée seront facturés conformément à l'Accord entre le NIP et la PNUD pour la prestation des services par la PNUD. La gouvernance du projet recevra une assistance dans le cadre de la planification annuelle du travail ainsi que du dépôt de rapports et d'une surveillance portant sur les résultats obtenus et l'impact, par ré</w:t>
      </w:r>
      <w:r w:rsidR="00667FBB">
        <w:rPr>
          <w:rFonts w:ascii="Times New Roman" w:hAnsi="Times New Roman"/>
          <w:szCs w:val="22"/>
        </w:rPr>
        <w:t xml:space="preserve">férence au cadre de résultats. </w:t>
      </w:r>
      <w:r w:rsidRPr="00174C5D">
        <w:rPr>
          <w:rFonts w:ascii="Times New Roman" w:hAnsi="Times New Roman"/>
          <w:szCs w:val="22"/>
        </w:rPr>
        <w:t xml:space="preserve">Les plans de travail annuels ainsi que les rapports de progression incomberont à la direction du projet et seront approuvés par le NPD en consultation étroite avec le PNUD. </w:t>
      </w:r>
    </w:p>
    <w:p w:rsidR="00205323" w:rsidRPr="0001740A" w:rsidRDefault="00205323" w:rsidP="0001740A">
      <w:pPr>
        <w:pStyle w:val="Titre1"/>
        <w:numPr>
          <w:ilvl w:val="0"/>
          <w:numId w:val="37"/>
        </w:numPr>
        <w:rPr>
          <w:rFonts w:ascii="Times New Roman" w:hAnsi="Times New Roman"/>
          <w:sz w:val="28"/>
          <w:szCs w:val="28"/>
          <w:lang w:val="en-GB" w:eastAsia="en-US"/>
        </w:rPr>
      </w:pPr>
      <w:bookmarkStart w:id="74" w:name="_Toc262924498"/>
      <w:bookmarkStart w:id="75" w:name="_Toc418144255"/>
      <w:bookmarkStart w:id="76" w:name="_Toc298586304"/>
      <w:r w:rsidRPr="0001740A">
        <w:rPr>
          <w:rFonts w:ascii="Times New Roman" w:hAnsi="Times New Roman"/>
          <w:sz w:val="28"/>
          <w:szCs w:val="28"/>
          <w:lang w:val="en-GB" w:eastAsia="en-US"/>
        </w:rPr>
        <w:t>Suivi et évaluation</w:t>
      </w:r>
      <w:bookmarkEnd w:id="74"/>
      <w:bookmarkEnd w:id="75"/>
      <w:bookmarkEnd w:id="76"/>
      <w:r w:rsidRPr="0001740A">
        <w:rPr>
          <w:rFonts w:ascii="Times New Roman" w:hAnsi="Times New Roman"/>
          <w:sz w:val="28"/>
          <w:szCs w:val="28"/>
          <w:lang w:val="en-GB" w:eastAsia="en-US"/>
        </w:rPr>
        <w:t xml:space="preserve"> </w:t>
      </w:r>
    </w:p>
    <w:p w:rsidR="00205323" w:rsidRPr="00865A23" w:rsidRDefault="00205323" w:rsidP="00205323">
      <w:pPr>
        <w:tabs>
          <w:tab w:val="left" w:pos="-360"/>
          <w:tab w:val="left" w:pos="519"/>
        </w:tabs>
        <w:autoSpaceDN w:val="0"/>
        <w:spacing w:after="180"/>
        <w:ind w:left="-360" w:right="-450"/>
        <w:rPr>
          <w:rFonts w:ascii="Times New Roman" w:hAnsi="Times New Roman"/>
          <w:szCs w:val="22"/>
        </w:rPr>
      </w:pPr>
      <w:r w:rsidRPr="00174C5D">
        <w:rPr>
          <w:rFonts w:ascii="Times New Roman" w:hAnsi="Times New Roman"/>
          <w:szCs w:val="22"/>
        </w:rPr>
        <w:t>La PNUD Guinée sera responsable de la surveillance et de l'évaluation (M&amp;E - Monitoring and Evaluation), notamment l'organisation des évaluations de projet, l'approbation des plans de travail de mise en œuvre et des révisions budgétaires sur une base annuelle, la surveillance de la progression, l'identification des problèmes et les suggestions de mesures correctives, la facilitation d'une livraison en temps requis des réalisations du projet et la facilitation de la coordination et de la création de liens avec d'autres initiatives et institutions connexes dans le pays et la région.</w:t>
      </w:r>
    </w:p>
    <w:p w:rsidR="00205323" w:rsidRPr="00865A23" w:rsidRDefault="00205323" w:rsidP="00205323">
      <w:pPr>
        <w:tabs>
          <w:tab w:val="left" w:pos="-360"/>
          <w:tab w:val="left" w:pos="519"/>
        </w:tabs>
        <w:autoSpaceDN w:val="0"/>
        <w:spacing w:after="180"/>
        <w:ind w:left="-360" w:right="-450"/>
        <w:rPr>
          <w:rFonts w:ascii="Times New Roman" w:hAnsi="Times New Roman"/>
          <w:szCs w:val="22"/>
        </w:rPr>
      </w:pPr>
      <w:r w:rsidRPr="00174C5D">
        <w:rPr>
          <w:rFonts w:ascii="Times New Roman" w:hAnsi="Times New Roman"/>
          <w:szCs w:val="22"/>
        </w:rPr>
        <w:t>Pendant la mise en œuvre, un soin particulier sera apporté à la mise en place d'une communication et de mécanismes de coordination adéquats, afin de veiller à ce que les domaines d'intérêt commun puissent faire l’objet d’une gestion économique.</w:t>
      </w:r>
    </w:p>
    <w:p w:rsidR="00205323" w:rsidRPr="004F2CBA" w:rsidRDefault="00205323" w:rsidP="00667FBB">
      <w:pPr>
        <w:ind w:left="-360"/>
        <w:rPr>
          <w:rFonts w:ascii="Times New Roman" w:hAnsi="Times New Roman"/>
          <w:szCs w:val="22"/>
          <w:lang w:val="es-ES_tradnl"/>
        </w:rPr>
      </w:pPr>
      <w:r w:rsidRPr="00174C5D">
        <w:rPr>
          <w:rFonts w:ascii="Times New Roman" w:hAnsi="Times New Roman"/>
          <w:szCs w:val="22"/>
        </w:rPr>
        <w:t xml:space="preserve">Le projet fera l'objet d'un suivi dans le cadre des activités suivantes M&amp;E. Le budget M&amp;E est exposé dans le tableau ci-dessous. </w:t>
      </w:r>
    </w:p>
    <w:p w:rsidR="00205323" w:rsidRPr="004F2CBA" w:rsidRDefault="00205323" w:rsidP="00205323">
      <w:pPr>
        <w:ind w:left="-360"/>
        <w:rPr>
          <w:rFonts w:ascii="Times New Roman" w:hAnsi="Times New Roman"/>
          <w:szCs w:val="22"/>
          <w:lang w:val="es-ES_tradnl"/>
        </w:rPr>
      </w:pPr>
      <w:r w:rsidRPr="00174C5D">
        <w:rPr>
          <w:rFonts w:ascii="Times New Roman" w:hAnsi="Times New Roman"/>
          <w:b/>
          <w:bCs/>
          <w:szCs w:val="22"/>
        </w:rPr>
        <w:t>Début du projet :</w:t>
      </w:r>
      <w:r w:rsidR="00C77FA3">
        <w:rPr>
          <w:rFonts w:ascii="Times New Roman" w:hAnsi="Times New Roman"/>
          <w:szCs w:val="22"/>
        </w:rPr>
        <w:t xml:space="preserve"> </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lang w:val="es-ES_tradnl"/>
        </w:rPr>
      </w:pPr>
      <w:r w:rsidRPr="00174C5D">
        <w:rPr>
          <w:rFonts w:ascii="Times New Roman" w:hAnsi="Times New Roman"/>
          <w:szCs w:val="22"/>
        </w:rPr>
        <w:lastRenderedPageBreak/>
        <w:t>Un Atelier de lancement de projet sera organisé dans les 2 premiers mois suivant le début du projet avec ceux dont les rôles sont définis au sein de la structure organisationnelle du projet, le Bureau Pays de la PNUD et si nécessaire et réalisable, les conseillers techniques régionaux en matière de programme et de politique ainsi q</w:t>
      </w:r>
      <w:r w:rsidR="00667FBB">
        <w:rPr>
          <w:rFonts w:ascii="Times New Roman" w:hAnsi="Times New Roman"/>
          <w:szCs w:val="22"/>
        </w:rPr>
        <w:t xml:space="preserve">ue d'autres parties prenantes. </w:t>
      </w:r>
      <w:r w:rsidRPr="00174C5D">
        <w:rPr>
          <w:rFonts w:ascii="Times New Roman" w:hAnsi="Times New Roman"/>
          <w:szCs w:val="22"/>
        </w:rPr>
        <w:t xml:space="preserve">L'Atelier de lancement est crucial à la responsabilisation en ce qui concerne les résultats du projet et la planification du premier plan de travail annuel. </w:t>
      </w:r>
    </w:p>
    <w:p w:rsidR="00205323" w:rsidRPr="00865A23"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r w:rsidRPr="00174C5D">
        <w:rPr>
          <w:rFonts w:ascii="Times New Roman" w:hAnsi="Times New Roman"/>
          <w:szCs w:val="22"/>
        </w:rPr>
        <w:t>L'Atelier de lancement doit porter sur certaines questions clés, notamment :</w:t>
      </w:r>
    </w:p>
    <w:p w:rsidR="00205323" w:rsidRPr="00865A23" w:rsidRDefault="00205323" w:rsidP="000C4537">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Cs w:val="22"/>
        </w:rPr>
      </w:pPr>
      <w:r w:rsidRPr="00174C5D">
        <w:rPr>
          <w:rFonts w:ascii="Times New Roman" w:hAnsi="Times New Roman"/>
          <w:szCs w:val="22"/>
        </w:rPr>
        <w:t>Une assistance doit être apportée à l'ensemble des partenaires afin qu'ils comprennent pleinement le projet et qu'ils en assument la responsabilité. Il convient de préciser en détail les rôles, les services de soutien et les responsabilités complémentaires du Bureau Pays du PNUD et du personnel de la RCU (</w:t>
      </w:r>
      <w:r w:rsidR="007562CF" w:rsidRPr="00174C5D">
        <w:rPr>
          <w:rFonts w:ascii="Times New Roman" w:hAnsi="Times New Roman"/>
          <w:szCs w:val="22"/>
        </w:rPr>
        <w:t>Régional</w:t>
      </w:r>
      <w:r w:rsidRPr="00174C5D">
        <w:rPr>
          <w:rFonts w:ascii="Times New Roman" w:hAnsi="Times New Roman"/>
          <w:szCs w:val="22"/>
        </w:rPr>
        <w:t xml:space="preserve"> Coordination Unit) vis-à-vis de l'équipe de projet. Une discussion doit intervenir quant aux rôles, fonctions et responsabilités au sein des structures de prise de décision du projet, y compris la remise de rapports et les voies de communication, ainsi que les mécan</w:t>
      </w:r>
      <w:r w:rsidR="00FE65B7">
        <w:rPr>
          <w:rFonts w:ascii="Times New Roman" w:hAnsi="Times New Roman"/>
          <w:szCs w:val="22"/>
        </w:rPr>
        <w:t>ismes de résolution de conflit.</w:t>
      </w:r>
      <w:r w:rsidRPr="00174C5D">
        <w:rPr>
          <w:rFonts w:ascii="Times New Roman" w:hAnsi="Times New Roman"/>
          <w:szCs w:val="22"/>
        </w:rPr>
        <w:t xml:space="preserve"> Les conditions d’attribution des missions du personnel du projet feront l’objet de nouvelles discussions si besoin est.</w:t>
      </w:r>
    </w:p>
    <w:p w:rsidR="00205323" w:rsidRPr="00865A23" w:rsidRDefault="00205323" w:rsidP="000C4537">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Cs w:val="22"/>
        </w:rPr>
      </w:pPr>
      <w:r w:rsidRPr="00174C5D">
        <w:rPr>
          <w:rFonts w:ascii="Times New Roman" w:hAnsi="Times New Roman"/>
          <w:szCs w:val="22"/>
        </w:rPr>
        <w:t>Sur la base du cadre de résultats du projet et de l'Outil de suivi pertinent du FEM (Fonds pour l'Environnement Mondial), le cas échéant, une finalisation du premier plan de travail annuel. Revue et accord quant aux indicateurs, cibles et leurs moyens de vérification, et nouvel exa</w:t>
      </w:r>
      <w:r w:rsidR="00FE65B7">
        <w:rPr>
          <w:rFonts w:ascii="Times New Roman" w:hAnsi="Times New Roman"/>
          <w:szCs w:val="22"/>
        </w:rPr>
        <w:t>men des hypothèses et risques.</w:t>
      </w:r>
    </w:p>
    <w:p w:rsidR="00205323" w:rsidRPr="00865A23" w:rsidRDefault="00205323" w:rsidP="000C4537">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Cs w:val="22"/>
        </w:rPr>
      </w:pPr>
      <w:r w:rsidRPr="00174C5D">
        <w:rPr>
          <w:rFonts w:ascii="Times New Roman" w:hAnsi="Times New Roman"/>
          <w:szCs w:val="22"/>
        </w:rPr>
        <w:t>Remise d'une présentation détaillée des exigences liées à la remise de rapports, à la surveil</w:t>
      </w:r>
      <w:r w:rsidR="00FE65B7">
        <w:rPr>
          <w:rFonts w:ascii="Times New Roman" w:hAnsi="Times New Roman"/>
          <w:szCs w:val="22"/>
        </w:rPr>
        <w:t xml:space="preserve">lance et à l'évaluation (M&amp;E). </w:t>
      </w:r>
      <w:r w:rsidRPr="00174C5D">
        <w:rPr>
          <w:rFonts w:ascii="Times New Roman" w:hAnsi="Times New Roman"/>
          <w:szCs w:val="22"/>
        </w:rPr>
        <w:t xml:space="preserve">Le plan de travail portant sur la surveillance et l'évaluation, ainsi que le budget, doivent faire l'objet d'un accord et d'une programmation. </w:t>
      </w:r>
    </w:p>
    <w:p w:rsidR="00205323" w:rsidRPr="00865A23" w:rsidRDefault="00205323" w:rsidP="000C4537">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Cs w:val="22"/>
        </w:rPr>
      </w:pPr>
      <w:r w:rsidRPr="00174C5D">
        <w:rPr>
          <w:rFonts w:ascii="Times New Roman" w:hAnsi="Times New Roman"/>
          <w:szCs w:val="22"/>
        </w:rPr>
        <w:t>Une discussion doit intervenir quant aux procédures et obligations relatives à la communication financière, et sur les mesures en place pour un audit annuel.</w:t>
      </w:r>
    </w:p>
    <w:p w:rsidR="00205323" w:rsidRPr="00865A23" w:rsidRDefault="00205323" w:rsidP="000C4537">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Cs w:val="22"/>
        </w:rPr>
      </w:pPr>
      <w:r w:rsidRPr="00174C5D">
        <w:rPr>
          <w:rFonts w:ascii="Times New Roman" w:hAnsi="Times New Roman"/>
          <w:szCs w:val="22"/>
        </w:rPr>
        <w:t>Planification et calendrier des</w:t>
      </w:r>
      <w:r w:rsidR="00FE65B7">
        <w:rPr>
          <w:rFonts w:ascii="Times New Roman" w:hAnsi="Times New Roman"/>
          <w:szCs w:val="22"/>
        </w:rPr>
        <w:t xml:space="preserve"> réunions du Comité du projet. </w:t>
      </w:r>
      <w:r w:rsidRPr="00174C5D">
        <w:rPr>
          <w:rFonts w:ascii="Times New Roman" w:hAnsi="Times New Roman"/>
          <w:szCs w:val="22"/>
        </w:rPr>
        <w:t>Les rôles et responsabilités de toutes les structures organisationnelles du projet doivent être explicitées et les réunions planifiées. La première réunion du Comité du projet doit se tenir dans les 12 premiers mois suivant l'atelier de lancement.</w:t>
      </w:r>
    </w:p>
    <w:p w:rsidR="00205323" w:rsidRPr="00865A23" w:rsidRDefault="00205323" w:rsidP="00205323">
      <w:pPr>
        <w:ind w:left="-360"/>
        <w:rPr>
          <w:rFonts w:ascii="Times New Roman" w:hAnsi="Times New Roman"/>
          <w:szCs w:val="22"/>
        </w:rPr>
      </w:pPr>
    </w:p>
    <w:p w:rsidR="00205323" w:rsidRPr="00865A23" w:rsidRDefault="00205323" w:rsidP="00205323">
      <w:pPr>
        <w:ind w:left="-360" w:right="-450"/>
        <w:rPr>
          <w:rFonts w:ascii="Times New Roman" w:hAnsi="Times New Roman"/>
          <w:b/>
          <w:szCs w:val="22"/>
        </w:rPr>
      </w:pPr>
      <w:r w:rsidRPr="00174C5D">
        <w:rPr>
          <w:rFonts w:ascii="Times New Roman" w:hAnsi="Times New Roman"/>
          <w:szCs w:val="22"/>
        </w:rPr>
        <w:t>Un rapport d'Atelier de lancement est un document clé de référence et il doit être préparé avec les participants et distribué à ces derniers afin de formaliser différents accords et pl</w:t>
      </w:r>
      <w:r w:rsidR="00FE65B7">
        <w:rPr>
          <w:rFonts w:ascii="Times New Roman" w:hAnsi="Times New Roman"/>
          <w:szCs w:val="22"/>
        </w:rPr>
        <w:t>ans décidés pendant la réunion.</w:t>
      </w:r>
    </w:p>
    <w:p w:rsidR="00205323" w:rsidRPr="00174C5D" w:rsidRDefault="00205323" w:rsidP="00205323">
      <w:pPr>
        <w:ind w:left="-360" w:right="-450"/>
        <w:rPr>
          <w:rFonts w:ascii="Times New Roman" w:hAnsi="Times New Roman"/>
          <w:b/>
          <w:szCs w:val="22"/>
          <w:lang w:val="en-GB"/>
        </w:rPr>
      </w:pPr>
      <w:r w:rsidRPr="00174C5D">
        <w:rPr>
          <w:rFonts w:ascii="Times New Roman" w:hAnsi="Times New Roman"/>
          <w:b/>
          <w:bCs/>
          <w:szCs w:val="22"/>
        </w:rPr>
        <w:t>Sur une base trimestrielle :</w:t>
      </w:r>
    </w:p>
    <w:p w:rsidR="00205323" w:rsidRPr="00865A23" w:rsidRDefault="00205323" w:rsidP="000C4537">
      <w:pPr>
        <w:numPr>
          <w:ilvl w:val="0"/>
          <w:numId w:val="27"/>
        </w:numPr>
        <w:tabs>
          <w:tab w:val="left" w:pos="360"/>
        </w:tabs>
        <w:spacing w:before="60" w:after="120"/>
        <w:ind w:right="-450"/>
        <w:rPr>
          <w:rFonts w:ascii="Times New Roman" w:hAnsi="Times New Roman"/>
          <w:noProof/>
          <w:szCs w:val="22"/>
        </w:rPr>
      </w:pPr>
      <w:r w:rsidRPr="00174C5D">
        <w:rPr>
          <w:rFonts w:ascii="Times New Roman" w:hAnsi="Times New Roman"/>
          <w:szCs w:val="22"/>
        </w:rPr>
        <w:t>Les progrès effectués doivent faire l'objet d'un suivi sur la Plateforme de gestion axée sur les résultats (ERBM - Enhanced Results Based Management) du PNUD.</w:t>
      </w:r>
    </w:p>
    <w:p w:rsidR="00205323" w:rsidRPr="004F2CBA" w:rsidRDefault="00205323" w:rsidP="000C4537">
      <w:pPr>
        <w:numPr>
          <w:ilvl w:val="0"/>
          <w:numId w:val="27"/>
        </w:numPr>
        <w:tabs>
          <w:tab w:val="left" w:pos="360"/>
        </w:tabs>
        <w:spacing w:before="60" w:after="120"/>
        <w:ind w:right="-450"/>
        <w:rPr>
          <w:rFonts w:ascii="Times New Roman" w:hAnsi="Times New Roman"/>
          <w:noProof/>
          <w:szCs w:val="22"/>
        </w:rPr>
      </w:pPr>
      <w:r w:rsidRPr="00174C5D">
        <w:rPr>
          <w:rFonts w:ascii="Times New Roman" w:hAnsi="Times New Roman"/>
          <w:szCs w:val="22"/>
        </w:rPr>
        <w:t>Au regard de l'analyse initiale des risques présentée, le journal des risques fera l'objet sous ATLAS d'une mise à jour régulière. Les risques deviennent critiques lorsque l'impact et la probabilité sont élevés. Il y a lieu de relever que pour les projets PNUD FEM, l'ensemble des risques financiers associés aux instruments financiers, comme les fonds renouvelables, les programmes de microfinance, ou la structure du capital des ESCO (Sociétés de services énergétiques) sont systématiquement classifiés comme critiques au regard de leur nature innovante (l'impact élevé et l'incertitude en raison de l'absence d'une expérience préalable, justifient une</w:t>
      </w:r>
      <w:r w:rsidR="00FE65B7">
        <w:rPr>
          <w:rFonts w:ascii="Times New Roman" w:hAnsi="Times New Roman"/>
          <w:szCs w:val="22"/>
        </w:rPr>
        <w:t xml:space="preserve"> classification dite critique).</w:t>
      </w:r>
    </w:p>
    <w:p w:rsidR="00205323" w:rsidRPr="00865A23" w:rsidRDefault="00205323" w:rsidP="000C4537">
      <w:pPr>
        <w:numPr>
          <w:ilvl w:val="0"/>
          <w:numId w:val="27"/>
        </w:numPr>
        <w:tabs>
          <w:tab w:val="left" w:pos="360"/>
        </w:tabs>
        <w:spacing w:before="60" w:after="120"/>
        <w:ind w:right="-450"/>
        <w:rPr>
          <w:rFonts w:ascii="Times New Roman" w:hAnsi="Times New Roman"/>
          <w:noProof/>
          <w:szCs w:val="22"/>
        </w:rPr>
      </w:pPr>
      <w:r w:rsidRPr="00174C5D">
        <w:rPr>
          <w:rFonts w:ascii="Times New Roman" w:hAnsi="Times New Roman"/>
          <w:color w:val="000000"/>
          <w:szCs w:val="22"/>
        </w:rPr>
        <w:t>Sur la base des informations saisies sous Atlas, un Rapport d'état d'avancement du projet (PPR - Project Progress Report) peut être créé dans le tableau de bord de la direction (Executive Snapshot).</w:t>
      </w:r>
    </w:p>
    <w:p w:rsidR="00205323" w:rsidRPr="004F2CBA" w:rsidRDefault="00205323" w:rsidP="000C4537">
      <w:pPr>
        <w:numPr>
          <w:ilvl w:val="0"/>
          <w:numId w:val="27"/>
        </w:numPr>
        <w:tabs>
          <w:tab w:val="left" w:pos="360"/>
        </w:tabs>
        <w:spacing w:before="60" w:after="120"/>
        <w:ind w:right="-450"/>
        <w:rPr>
          <w:rFonts w:ascii="Times New Roman" w:hAnsi="Times New Roman"/>
          <w:noProof/>
          <w:szCs w:val="22"/>
          <w:lang w:val="es-ES_tradnl"/>
        </w:rPr>
      </w:pPr>
      <w:r w:rsidRPr="00174C5D">
        <w:rPr>
          <w:rFonts w:ascii="Times New Roman" w:hAnsi="Times New Roman"/>
          <w:color w:val="000000"/>
          <w:szCs w:val="22"/>
        </w:rPr>
        <w:t>D'autres journaux ATLAS peuvent être utilisés pour le suivi des problèmes, des leçons tirées, etc. L'utilisation de ces fonctions est un indicateur clé de la Fiche récapitulative de suivi par la direction PNUD (Executive Balance Scorecard)</w:t>
      </w:r>
    </w:p>
    <w:p w:rsidR="00FE65B7" w:rsidRPr="004F2CBA" w:rsidRDefault="00FE65B7" w:rsidP="00FE65B7">
      <w:pPr>
        <w:spacing w:before="60" w:after="120"/>
        <w:ind w:left="360" w:right="-450"/>
        <w:rPr>
          <w:rFonts w:ascii="Times New Roman" w:hAnsi="Times New Roman"/>
          <w:noProof/>
          <w:szCs w:val="22"/>
          <w:lang w:val="es-ES_tradnl"/>
        </w:rPr>
      </w:pPr>
    </w:p>
    <w:p w:rsidR="00205323" w:rsidRPr="00174C5D" w:rsidRDefault="00205323" w:rsidP="00205323">
      <w:pPr>
        <w:spacing w:before="60" w:after="120"/>
        <w:ind w:right="-450"/>
        <w:rPr>
          <w:rFonts w:ascii="Times New Roman" w:hAnsi="Times New Roman"/>
          <w:noProof/>
          <w:szCs w:val="22"/>
          <w:lang w:val="en-GB"/>
        </w:rPr>
      </w:pPr>
      <w:r w:rsidRPr="00174C5D">
        <w:rPr>
          <w:rFonts w:ascii="Times New Roman" w:hAnsi="Times New Roman"/>
          <w:b/>
          <w:bCs/>
          <w:szCs w:val="22"/>
        </w:rPr>
        <w:t>Sur une base annuelle :</w:t>
      </w:r>
    </w:p>
    <w:p w:rsidR="00205323" w:rsidRPr="004F2CBA" w:rsidRDefault="00205323" w:rsidP="000C4537">
      <w:pPr>
        <w:numPr>
          <w:ilvl w:val="0"/>
          <w:numId w:val="28"/>
        </w:numPr>
        <w:tabs>
          <w:tab w:val="left" w:pos="360"/>
        </w:tabs>
        <w:spacing w:after="0"/>
        <w:ind w:right="-450"/>
        <w:rPr>
          <w:rFonts w:ascii="Times New Roman" w:hAnsi="Times New Roman"/>
          <w:szCs w:val="22"/>
          <w:u w:val="single"/>
          <w:lang w:val="es-ES_tradnl"/>
        </w:rPr>
      </w:pPr>
      <w:r w:rsidRPr="00174C5D">
        <w:rPr>
          <w:rFonts w:ascii="Times New Roman" w:hAnsi="Times New Roman"/>
          <w:szCs w:val="22"/>
        </w:rPr>
        <w:lastRenderedPageBreak/>
        <w:t xml:space="preserve">Revue annuelle de projet / Rapports de réalisation du projet (APR/PIR - Annual Project Review/Project </w:t>
      </w:r>
      <w:r w:rsidR="007562CF" w:rsidRPr="00174C5D">
        <w:rPr>
          <w:rFonts w:ascii="Times New Roman" w:hAnsi="Times New Roman"/>
          <w:szCs w:val="22"/>
        </w:rPr>
        <w:t>Implémentation</w:t>
      </w:r>
      <w:r w:rsidRPr="00174C5D">
        <w:rPr>
          <w:rFonts w:ascii="Times New Roman" w:hAnsi="Times New Roman"/>
          <w:szCs w:val="22"/>
        </w:rPr>
        <w:t xml:space="preserve"> Reports) : Ce rapport clé est préparé afin d'assurer un suivi des progrès accomplis depuis le lancement du projet et en particulier pour la période précédente de dépôt de rapport (30 juin au 1er juillet). L'APR/PIR associe les exi</w:t>
      </w:r>
      <w:r w:rsidR="00FE65B7">
        <w:rPr>
          <w:rFonts w:ascii="Times New Roman" w:hAnsi="Times New Roman"/>
          <w:szCs w:val="22"/>
        </w:rPr>
        <w:t>gences tant du PNUD que du FEM.</w:t>
      </w:r>
    </w:p>
    <w:p w:rsidR="00205323" w:rsidRPr="004F2CBA" w:rsidRDefault="00205323" w:rsidP="00205323">
      <w:pPr>
        <w:ind w:left="360"/>
        <w:rPr>
          <w:rFonts w:ascii="Times New Roman" w:hAnsi="Times New Roman"/>
          <w:szCs w:val="22"/>
          <w:lang w:val="es-ES_tradnl"/>
        </w:rPr>
      </w:pPr>
    </w:p>
    <w:p w:rsidR="00205323" w:rsidRPr="00865A23" w:rsidRDefault="00205323" w:rsidP="00205323">
      <w:pPr>
        <w:ind w:left="360" w:right="-450"/>
        <w:rPr>
          <w:rFonts w:ascii="Times New Roman" w:hAnsi="Times New Roman"/>
          <w:szCs w:val="22"/>
        </w:rPr>
      </w:pPr>
      <w:r w:rsidRPr="00174C5D">
        <w:rPr>
          <w:rFonts w:ascii="Times New Roman" w:hAnsi="Times New Roman"/>
          <w:szCs w:val="22"/>
        </w:rPr>
        <w:t>L’APR/PIR comprend, sans toutefois s'y limiter, la communication d'informations sur ce qui suit :</w:t>
      </w:r>
    </w:p>
    <w:p w:rsidR="00205323" w:rsidRPr="004F2CBA" w:rsidRDefault="00205323" w:rsidP="000C4537">
      <w:pPr>
        <w:numPr>
          <w:ilvl w:val="0"/>
          <w:numId w:val="29"/>
        </w:numPr>
        <w:spacing w:after="0"/>
        <w:ind w:right="-450"/>
        <w:rPr>
          <w:rFonts w:ascii="Times New Roman" w:hAnsi="Times New Roman"/>
          <w:szCs w:val="22"/>
          <w:lang w:val="es-ES_tradnl"/>
        </w:rPr>
      </w:pPr>
      <w:r w:rsidRPr="00174C5D">
        <w:rPr>
          <w:rFonts w:ascii="Times New Roman" w:hAnsi="Times New Roman"/>
          <w:szCs w:val="22"/>
        </w:rPr>
        <w:t>Les progrès accomplis vers l'objectif et les résultats du projet. Chacun est assorti d'indicateurs, de données sur la situation de départ et des objectifs ciblés de fin de projet (cumulatifs)</w:t>
      </w:r>
      <w:r w:rsidR="00C77FA3">
        <w:rPr>
          <w:rFonts w:ascii="Times New Roman" w:hAnsi="Times New Roman"/>
          <w:szCs w:val="22"/>
        </w:rPr>
        <w:t xml:space="preserve"> </w:t>
      </w:r>
    </w:p>
    <w:p w:rsidR="00205323" w:rsidRPr="00865A23" w:rsidRDefault="00205323" w:rsidP="000C4537">
      <w:pPr>
        <w:numPr>
          <w:ilvl w:val="0"/>
          <w:numId w:val="29"/>
        </w:numPr>
        <w:spacing w:after="0"/>
        <w:ind w:right="-450"/>
        <w:rPr>
          <w:rFonts w:ascii="Times New Roman" w:hAnsi="Times New Roman"/>
          <w:szCs w:val="22"/>
        </w:rPr>
      </w:pPr>
      <w:r w:rsidRPr="00174C5D">
        <w:rPr>
          <w:rFonts w:ascii="Times New Roman" w:hAnsi="Times New Roman"/>
          <w:szCs w:val="22"/>
        </w:rPr>
        <w:t xml:space="preserve">Les produits réalisés par résultat du projet (annuel). </w:t>
      </w:r>
    </w:p>
    <w:p w:rsidR="00205323" w:rsidRPr="00174C5D" w:rsidRDefault="00205323" w:rsidP="000C4537">
      <w:pPr>
        <w:numPr>
          <w:ilvl w:val="0"/>
          <w:numId w:val="29"/>
        </w:numPr>
        <w:spacing w:after="0"/>
        <w:ind w:right="-450"/>
        <w:rPr>
          <w:rFonts w:ascii="Times New Roman" w:hAnsi="Times New Roman"/>
          <w:szCs w:val="22"/>
          <w:lang w:val="en-GB"/>
        </w:rPr>
      </w:pPr>
      <w:r w:rsidRPr="00174C5D">
        <w:rPr>
          <w:rFonts w:ascii="Times New Roman" w:hAnsi="Times New Roman"/>
          <w:szCs w:val="22"/>
        </w:rPr>
        <w:t>Leçons tirées / bonnes pratiques.</w:t>
      </w:r>
    </w:p>
    <w:p w:rsidR="00205323" w:rsidRPr="00865A23" w:rsidRDefault="00205323" w:rsidP="000C4537">
      <w:pPr>
        <w:numPr>
          <w:ilvl w:val="0"/>
          <w:numId w:val="29"/>
        </w:numPr>
        <w:spacing w:after="0"/>
        <w:ind w:right="-450"/>
        <w:rPr>
          <w:rFonts w:ascii="Times New Roman" w:hAnsi="Times New Roman"/>
          <w:szCs w:val="22"/>
        </w:rPr>
      </w:pPr>
      <w:r w:rsidRPr="00174C5D">
        <w:rPr>
          <w:rFonts w:ascii="Times New Roman" w:hAnsi="Times New Roman"/>
          <w:szCs w:val="22"/>
        </w:rPr>
        <w:t xml:space="preserve">Programme de travail annuel (AWP - Annual Work Program) et autres rapports de dépenses </w:t>
      </w:r>
    </w:p>
    <w:p w:rsidR="00205323" w:rsidRPr="00865A23" w:rsidRDefault="00205323" w:rsidP="000C4537">
      <w:pPr>
        <w:numPr>
          <w:ilvl w:val="0"/>
          <w:numId w:val="29"/>
        </w:numPr>
        <w:spacing w:after="0"/>
        <w:ind w:right="-450"/>
        <w:rPr>
          <w:rFonts w:ascii="Times New Roman" w:hAnsi="Times New Roman"/>
          <w:szCs w:val="22"/>
        </w:rPr>
      </w:pPr>
      <w:r w:rsidRPr="00174C5D">
        <w:rPr>
          <w:rFonts w:ascii="Times New Roman" w:hAnsi="Times New Roman"/>
          <w:szCs w:val="22"/>
        </w:rPr>
        <w:t>Gestion des risques et de l'adaptation</w:t>
      </w:r>
    </w:p>
    <w:p w:rsidR="00205323" w:rsidRPr="00865A23" w:rsidRDefault="00205323" w:rsidP="000C4537">
      <w:pPr>
        <w:numPr>
          <w:ilvl w:val="0"/>
          <w:numId w:val="29"/>
        </w:numPr>
        <w:spacing w:after="0"/>
        <w:ind w:right="-450"/>
        <w:rPr>
          <w:rFonts w:ascii="Times New Roman" w:hAnsi="Times New Roman"/>
          <w:szCs w:val="22"/>
        </w:rPr>
      </w:pPr>
      <w:r w:rsidRPr="00174C5D">
        <w:rPr>
          <w:rFonts w:ascii="Times New Roman" w:hAnsi="Times New Roman"/>
          <w:szCs w:val="22"/>
        </w:rPr>
        <w:t xml:space="preserve">QPR (Rapport trimestriel d'état d'avancement) ATLAS </w:t>
      </w:r>
    </w:p>
    <w:p w:rsidR="00205323" w:rsidRPr="004F2CBA" w:rsidRDefault="00205323" w:rsidP="000C4537">
      <w:pPr>
        <w:numPr>
          <w:ilvl w:val="0"/>
          <w:numId w:val="29"/>
        </w:numPr>
        <w:spacing w:after="0"/>
        <w:ind w:right="-450"/>
        <w:rPr>
          <w:rFonts w:ascii="Times New Roman" w:hAnsi="Times New Roman"/>
          <w:szCs w:val="22"/>
          <w:lang w:val="es-ES_tradnl"/>
        </w:rPr>
      </w:pPr>
      <w:r w:rsidRPr="00174C5D">
        <w:rPr>
          <w:rFonts w:ascii="Times New Roman" w:hAnsi="Times New Roman"/>
          <w:szCs w:val="22"/>
        </w:rPr>
        <w:t>Les indicateurs au niveau du portefeuille (à savoir, outils de suivi de la cellule de coordination du FEM) sont utilisés par la plupart des points focaux, ég</w:t>
      </w:r>
      <w:r w:rsidR="00FE65B7">
        <w:rPr>
          <w:rFonts w:ascii="Times New Roman" w:hAnsi="Times New Roman"/>
          <w:szCs w:val="22"/>
        </w:rPr>
        <w:t>alement sur une base annuelle.</w:t>
      </w:r>
    </w:p>
    <w:p w:rsidR="00205323" w:rsidRPr="004F2CBA" w:rsidRDefault="00205323" w:rsidP="00205323">
      <w:pPr>
        <w:spacing w:after="120"/>
        <w:rPr>
          <w:rFonts w:ascii="Times New Roman" w:hAnsi="Times New Roman"/>
          <w:b/>
          <w:bCs/>
          <w:iCs/>
          <w:szCs w:val="22"/>
          <w:lang w:val="es-ES_tradnl"/>
        </w:rPr>
      </w:pPr>
    </w:p>
    <w:p w:rsidR="00205323" w:rsidRPr="004F2CBA" w:rsidRDefault="00205323" w:rsidP="00205323">
      <w:pPr>
        <w:spacing w:after="120"/>
        <w:rPr>
          <w:rFonts w:ascii="Times New Roman" w:hAnsi="Times New Roman"/>
          <w:szCs w:val="22"/>
          <w:lang w:val="es-ES_tradnl"/>
        </w:rPr>
      </w:pPr>
      <w:r w:rsidRPr="00174C5D">
        <w:rPr>
          <w:rFonts w:ascii="Times New Roman" w:hAnsi="Times New Roman"/>
          <w:b/>
          <w:bCs/>
          <w:szCs w:val="22"/>
        </w:rPr>
        <w:t>Une surveillance périodique dans le cadre de visites sur site :</w:t>
      </w:r>
    </w:p>
    <w:p w:rsidR="00205323" w:rsidRPr="004F2CBA" w:rsidRDefault="00205323" w:rsidP="002053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ind w:left="-360" w:right="-450"/>
        <w:rPr>
          <w:rFonts w:ascii="Times New Roman" w:hAnsi="Times New Roman"/>
          <w:szCs w:val="22"/>
          <w:lang w:val="es-ES_tradnl"/>
        </w:rPr>
      </w:pPr>
      <w:r w:rsidRPr="00174C5D">
        <w:rPr>
          <w:rFonts w:ascii="Times New Roman" w:hAnsi="Times New Roman"/>
          <w:szCs w:val="22"/>
        </w:rPr>
        <w:t>Le Bureau Pays PNUD et la RCU PNUD conduiront des visites sur les sites du projet en fonction du calendrier convenu dans le Rapport de lancement / Plan de travail annuel du Projet afin d'évaluer sur p</w:t>
      </w:r>
      <w:r w:rsidR="00FE65B7">
        <w:rPr>
          <w:rFonts w:ascii="Times New Roman" w:hAnsi="Times New Roman"/>
          <w:szCs w:val="22"/>
        </w:rPr>
        <w:t xml:space="preserve">lace la progression du projet. </w:t>
      </w:r>
      <w:r w:rsidRPr="00174C5D">
        <w:rPr>
          <w:rFonts w:ascii="Times New Roman" w:hAnsi="Times New Roman"/>
          <w:szCs w:val="22"/>
        </w:rPr>
        <w:t>D'autres membres du Comité de projet peuvent également se joindre à ces visites. Un Rapport de visite de site/BTOR (Back-to-Office Report) - Compte-rendu sera préparé par le Bureau pays et la RCU du PNUD et il fera l'objet d'une diffusion au minimum un mois suivant la visite auprès de l'équipe de projet et des membres du Comité du projet.</w:t>
      </w:r>
    </w:p>
    <w:p w:rsidR="00205323" w:rsidRPr="004F2CBA" w:rsidRDefault="00205323" w:rsidP="00205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2"/>
          <w:u w:val="single"/>
          <w:lang w:val="es-ES_tradnl"/>
        </w:rPr>
      </w:pPr>
    </w:p>
    <w:p w:rsidR="00205323" w:rsidRPr="004F2CBA" w:rsidRDefault="00205323" w:rsidP="00205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Cs w:val="22"/>
          <w:lang w:val="es-ES_tradnl"/>
        </w:rPr>
      </w:pPr>
      <w:r w:rsidRPr="00174C5D">
        <w:rPr>
          <w:rFonts w:ascii="Times New Roman" w:hAnsi="Times New Roman"/>
          <w:b/>
          <w:bCs/>
          <w:szCs w:val="22"/>
        </w:rPr>
        <w:t>Mi-parcours du cycle de projet :</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r w:rsidRPr="00174C5D">
        <w:rPr>
          <w:rFonts w:ascii="Times New Roman" w:hAnsi="Times New Roman"/>
          <w:szCs w:val="22"/>
        </w:rPr>
        <w:t>Le projet fera l'objet d'une Revue indépendante à mi-parcours vers janvier 2017, au point médian de l'exécution du projet. La Revue à mi-parcours identifiera les progrès accomplis en direction de l'atteinte des résultats et définira les mesures correctives si besoin est. Elle sera axée sur l'efficacité, la rentabilité et le respect des délais dans le déploiement du projet. Les problèmes imposant des décisions et actions seront signalés, et les leçons ayant été tirées initialement quant à la conception, l'exécution et la gestion du proj</w:t>
      </w:r>
      <w:r w:rsidR="00FE65B7">
        <w:rPr>
          <w:rFonts w:ascii="Times New Roman" w:hAnsi="Times New Roman"/>
          <w:szCs w:val="22"/>
        </w:rPr>
        <w:t xml:space="preserve">et feront l'objet d'un exposé. </w:t>
      </w:r>
      <w:r w:rsidRPr="00174C5D">
        <w:rPr>
          <w:rFonts w:ascii="Times New Roman" w:hAnsi="Times New Roman"/>
          <w:szCs w:val="22"/>
        </w:rPr>
        <w:t>Les constatations de cette revue seront incorporées à titre de recommandations en faveur d'une mise en œuvre optimisée durant la dernière</w:t>
      </w:r>
      <w:r w:rsidR="00FE65B7">
        <w:rPr>
          <w:rFonts w:ascii="Times New Roman" w:hAnsi="Times New Roman"/>
          <w:szCs w:val="22"/>
        </w:rPr>
        <w:t xml:space="preserve"> moitié de la durée du projet. </w:t>
      </w:r>
      <w:r w:rsidRPr="00174C5D">
        <w:rPr>
          <w:rFonts w:ascii="Times New Roman" w:hAnsi="Times New Roman"/>
          <w:szCs w:val="22"/>
        </w:rPr>
        <w:t xml:space="preserve">L'organisation, les termes de référence et le calendrier de la revue à mi-parcours seront décidés après une consultation entre les </w:t>
      </w:r>
      <w:r w:rsidR="00FE65B7">
        <w:rPr>
          <w:rFonts w:ascii="Times New Roman" w:hAnsi="Times New Roman"/>
          <w:szCs w:val="22"/>
        </w:rPr>
        <w:t xml:space="preserve">parties du document de projet. </w:t>
      </w:r>
      <w:r w:rsidRPr="00174C5D">
        <w:rPr>
          <w:rFonts w:ascii="Times New Roman" w:hAnsi="Times New Roman"/>
          <w:szCs w:val="22"/>
        </w:rPr>
        <w:t>Les conditions de référence de cette Revue à mi-parcours seront préparées par le Bureau Pays du PNUD sur la base de directives du Centre régio</w:t>
      </w:r>
      <w:r w:rsidR="00FE65B7">
        <w:rPr>
          <w:rFonts w:ascii="Times New Roman" w:hAnsi="Times New Roman"/>
          <w:szCs w:val="22"/>
        </w:rPr>
        <w:t xml:space="preserve">nal de service et du PNUD-FEM. </w:t>
      </w:r>
      <w:r w:rsidRPr="00174C5D">
        <w:rPr>
          <w:rFonts w:ascii="Times New Roman" w:hAnsi="Times New Roman"/>
          <w:szCs w:val="22"/>
        </w:rPr>
        <w:t xml:space="preserve">La réponse de la direction et l'évaluation seront téléchargées sur les systèmes de la direction du PNUD, en particulier le </w:t>
      </w:r>
      <w:hyperlink r:id="rId23" w:history="1">
        <w:r w:rsidRPr="00174C5D">
          <w:rPr>
            <w:rFonts w:ascii="Times New Roman" w:hAnsi="Times New Roman"/>
            <w:color w:val="0000FF"/>
            <w:szCs w:val="22"/>
            <w:u w:val="single"/>
          </w:rPr>
          <w:t>UNDP Evaluation Office Evaluation Resource Centre (ERC)</w:t>
        </w:r>
      </w:hyperlink>
      <w:r w:rsidRPr="00174C5D">
        <w:rPr>
          <w:rFonts w:ascii="Times New Roman" w:hAnsi="Times New Roman"/>
          <w:szCs w:val="22"/>
        </w:rPr>
        <w:t xml:space="preserve"> (Centre des ressources d'évaluation du Bureau d'évaluation du PNUD). </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lang w:val="es-ES_tradnl"/>
        </w:rPr>
      </w:pPr>
      <w:r w:rsidRPr="00174C5D">
        <w:rPr>
          <w:rFonts w:ascii="Times New Roman" w:hAnsi="Times New Roman"/>
          <w:szCs w:val="22"/>
        </w:rPr>
        <w:t>Les outils pertinents de suivi de la cellule de coordination du FEM seront également mis en œuvre pendant l</w:t>
      </w:r>
      <w:r w:rsidR="00FE65B7">
        <w:rPr>
          <w:rFonts w:ascii="Times New Roman" w:hAnsi="Times New Roman"/>
          <w:szCs w:val="22"/>
        </w:rPr>
        <w:t>e cycle de revue à mi-parcours.</w:t>
      </w:r>
    </w:p>
    <w:p w:rsidR="00205323" w:rsidRPr="004F2CBA" w:rsidRDefault="00205323" w:rsidP="00205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b/>
          <w:szCs w:val="22"/>
          <w:lang w:val="es-ES_tradnl"/>
        </w:rPr>
      </w:pPr>
      <w:r w:rsidRPr="00174C5D">
        <w:rPr>
          <w:rFonts w:ascii="Times New Roman" w:hAnsi="Times New Roman"/>
          <w:b/>
          <w:bCs/>
          <w:szCs w:val="22"/>
        </w:rPr>
        <w:t>Fin du projet :</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lang w:val="es-ES_tradnl"/>
        </w:rPr>
      </w:pPr>
      <w:r w:rsidRPr="00174C5D">
        <w:rPr>
          <w:rFonts w:ascii="Times New Roman" w:hAnsi="Times New Roman"/>
          <w:szCs w:val="22"/>
        </w:rPr>
        <w:t xml:space="preserve">Une Évaluation finale indépendante aura lieu trois mois avant la dernière réunion du Comité du projet et elle sera entreprise conformément aux instructions du PNUD et du FEM. L'évaluation finale sera axée sur l'obtention des résultats du projet tels qu'initialement planifiés (et tels que corrigés après la revue à mi-parcours, si une telle mesure corrective a eu lieu). L'évaluation finale examinera l'impact et la durabilité des résultats, notamment la contribution au développement de capacités et à la réalisation des avantages/objectifs généraux en faveur de </w:t>
      </w:r>
      <w:r w:rsidR="00FE65B7">
        <w:rPr>
          <w:rFonts w:ascii="Times New Roman" w:hAnsi="Times New Roman"/>
          <w:szCs w:val="22"/>
        </w:rPr>
        <w:t xml:space="preserve">l'environnement. </w:t>
      </w:r>
      <w:r w:rsidRPr="00174C5D">
        <w:rPr>
          <w:rFonts w:ascii="Times New Roman" w:hAnsi="Times New Roman"/>
          <w:szCs w:val="22"/>
        </w:rPr>
        <w:t xml:space="preserve">Les </w:t>
      </w:r>
      <w:r w:rsidRPr="00174C5D">
        <w:rPr>
          <w:rFonts w:ascii="Times New Roman" w:hAnsi="Times New Roman"/>
          <w:szCs w:val="22"/>
        </w:rPr>
        <w:lastRenderedPageBreak/>
        <w:t>conditions de référence pour cette évaluation seront préparées par le Bureau Pays du PNUD, sur la base de directives du Centre régional de service et du PNUD-FEM.</w:t>
      </w:r>
    </w:p>
    <w:p w:rsidR="00205323" w:rsidRPr="00865A23"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r w:rsidRPr="00174C5D">
        <w:rPr>
          <w:rFonts w:ascii="Times New Roman" w:hAnsi="Times New Roman"/>
          <w:szCs w:val="22"/>
        </w:rPr>
        <w:t xml:space="preserve">L'évaluation finale doit également formuler des recommandations quant aux activités de suivi et doit faire l’objet d’une réponse de la direction qui doit être téléchargée sur le système PIMS et sur le </w:t>
      </w:r>
      <w:hyperlink r:id="rId24" w:history="1">
        <w:r w:rsidRPr="00174C5D">
          <w:rPr>
            <w:rFonts w:ascii="Times New Roman" w:hAnsi="Times New Roman"/>
            <w:color w:val="0000FF"/>
            <w:szCs w:val="22"/>
            <w:u w:val="single"/>
          </w:rPr>
          <w:t>UNDP Evaluation Office Evaluation Resource Centre (ERC)</w:t>
        </w:r>
      </w:hyperlink>
      <w:r w:rsidR="00FE65B7">
        <w:rPr>
          <w:rFonts w:ascii="Times New Roman" w:hAnsi="Times New Roman"/>
          <w:szCs w:val="22"/>
        </w:rPr>
        <w:t>.</w:t>
      </w:r>
    </w:p>
    <w:p w:rsidR="00205323" w:rsidRPr="00865A23"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r w:rsidRPr="00174C5D">
        <w:rPr>
          <w:rFonts w:ascii="Times New Roman" w:hAnsi="Times New Roman"/>
          <w:szCs w:val="22"/>
        </w:rPr>
        <w:t>Les Outils pertinents de suivi de la cellule de coordination du FEM seront également mis en œuv</w:t>
      </w:r>
      <w:r w:rsidR="00FE65B7">
        <w:rPr>
          <w:rFonts w:ascii="Times New Roman" w:hAnsi="Times New Roman"/>
          <w:szCs w:val="22"/>
        </w:rPr>
        <w:t>re pendant l'évaluation finale.</w:t>
      </w:r>
    </w:p>
    <w:p w:rsidR="00205323" w:rsidRPr="00865A23"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bookmarkStart w:id="77" w:name="_Toc159568199"/>
      <w:bookmarkStart w:id="78" w:name="_Toc108965478"/>
      <w:bookmarkStart w:id="79" w:name="_Toc104107685"/>
      <w:bookmarkStart w:id="80" w:name="_Toc104107489"/>
      <w:bookmarkStart w:id="81" w:name="_Toc170813554"/>
      <w:bookmarkStart w:id="82" w:name="_Toc170813973"/>
      <w:r w:rsidRPr="00174C5D">
        <w:rPr>
          <w:rFonts w:ascii="Times New Roman" w:hAnsi="Times New Roman"/>
          <w:szCs w:val="22"/>
        </w:rPr>
        <w:t>Pendant les trois derniers mois, l'équipe de projet préparera le Rapport final de projet. Ce rapport exhaustif proposera une synthèse des résultats obtenus (objectifs, résultats, produits), leçons tirées, problèmes rencontrés et domaines où les résultats sont susceptibles de ne pas avoir été atteints. Il proposera également des recommandations pour toutes initiatives futures dont l'adoption peut s'avérer nécessaire afin de veiller au caractère durable et reproductible des résultats du projet.</w:t>
      </w:r>
    </w:p>
    <w:p w:rsidR="00205323" w:rsidRPr="00865A23" w:rsidRDefault="00205323" w:rsidP="00205323">
      <w:pPr>
        <w:spacing w:after="120"/>
        <w:rPr>
          <w:rFonts w:ascii="Times New Roman" w:hAnsi="Times New Roman"/>
          <w:b/>
          <w:szCs w:val="22"/>
        </w:rPr>
      </w:pPr>
      <w:r w:rsidRPr="00174C5D">
        <w:rPr>
          <w:rFonts w:ascii="Times New Roman" w:hAnsi="Times New Roman"/>
          <w:b/>
          <w:bCs/>
          <w:szCs w:val="22"/>
        </w:rPr>
        <w:t>Apprentissage et partage des connaissances</w:t>
      </w:r>
      <w:bookmarkEnd w:id="77"/>
      <w:bookmarkEnd w:id="78"/>
      <w:bookmarkEnd w:id="79"/>
      <w:bookmarkEnd w:id="80"/>
      <w:bookmarkEnd w:id="81"/>
      <w:bookmarkEnd w:id="82"/>
      <w:r w:rsidRPr="00174C5D">
        <w:rPr>
          <w:rFonts w:ascii="Times New Roman" w:hAnsi="Times New Roman"/>
          <w:b/>
          <w:bCs/>
          <w:szCs w:val="22"/>
        </w:rPr>
        <w:t xml:space="preserve"> :</w:t>
      </w:r>
    </w:p>
    <w:p w:rsidR="00205323" w:rsidRPr="00865A23"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r w:rsidRPr="00174C5D">
        <w:rPr>
          <w:rFonts w:ascii="Times New Roman" w:hAnsi="Times New Roman"/>
          <w:szCs w:val="22"/>
        </w:rPr>
        <w:t>Les résultats du projet seront diffusés au sein de la zone d'intervention du projet et au-delà, grâce à des réseaux et forums exist</w:t>
      </w:r>
      <w:r w:rsidR="00FE65B7">
        <w:rPr>
          <w:rFonts w:ascii="Times New Roman" w:hAnsi="Times New Roman"/>
          <w:szCs w:val="22"/>
        </w:rPr>
        <w:t>ants d'échange d'informations.</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lang w:val="es-ES_tradnl"/>
        </w:rPr>
      </w:pPr>
      <w:r w:rsidRPr="00174C5D">
        <w:rPr>
          <w:rFonts w:ascii="Times New Roman" w:hAnsi="Times New Roman"/>
          <w:szCs w:val="22"/>
        </w:rPr>
        <w:t>Le projet identifiera et participera, le cas échéant et suivant le cas, à des réseaux scientifiques, d'intérêt politique ou de toute autre nature, susceptibles de bénéficier à la mise en œuvre du projet, dans le cadre des leçons tirées. Le projet définira, analysera et diffusera les leçons tirée susceptibles de permettre l’amélioration de la conception et de l'exécution</w:t>
      </w:r>
      <w:r w:rsidR="00FE65B7">
        <w:rPr>
          <w:rFonts w:ascii="Times New Roman" w:hAnsi="Times New Roman"/>
          <w:szCs w:val="22"/>
        </w:rPr>
        <w:t xml:space="preserve"> de projets futurs similaires.</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lang w:val="es-ES_tradnl"/>
        </w:rPr>
      </w:pPr>
      <w:r w:rsidRPr="00174C5D">
        <w:rPr>
          <w:rFonts w:ascii="Times New Roman" w:hAnsi="Times New Roman"/>
          <w:szCs w:val="22"/>
        </w:rPr>
        <w:t>Enfin, un flux d'informations bilatéral sera mis en place entre le projet et d'autres projets axés sur un objectif similair</w:t>
      </w:r>
      <w:r w:rsidR="00FE65B7">
        <w:rPr>
          <w:rFonts w:ascii="Times New Roman" w:hAnsi="Times New Roman"/>
          <w:szCs w:val="22"/>
        </w:rPr>
        <w:t>e.</w:t>
      </w:r>
    </w:p>
    <w:p w:rsidR="00205323" w:rsidRPr="004F2CBA" w:rsidRDefault="00205323" w:rsidP="00205323">
      <w:pPr>
        <w:spacing w:after="120"/>
        <w:rPr>
          <w:rFonts w:ascii="Times New Roman" w:hAnsi="Times New Roman"/>
          <w:b/>
          <w:szCs w:val="22"/>
          <w:lang w:val="es-ES_tradnl"/>
        </w:rPr>
      </w:pPr>
      <w:r w:rsidRPr="00174C5D">
        <w:rPr>
          <w:rFonts w:ascii="Times New Roman" w:hAnsi="Times New Roman"/>
          <w:b/>
          <w:bCs/>
          <w:szCs w:val="22"/>
        </w:rPr>
        <w:t>Exigences en matière de visibilité et de communications :</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lang w:val="es-ES_tradnl"/>
        </w:rPr>
      </w:pPr>
      <w:r w:rsidRPr="00174C5D">
        <w:rPr>
          <w:rFonts w:ascii="Times New Roman" w:hAnsi="Times New Roman"/>
          <w:szCs w:val="22"/>
        </w:rPr>
        <w:t xml:space="preserve">Une stricte conformité est exigée quant aux Directives de marque du PNUD. Il peut y être accédé à l'adresse </w:t>
      </w:r>
      <w:hyperlink r:id="rId25" w:history="1">
        <w:r w:rsidRPr="00174C5D">
          <w:rPr>
            <w:rFonts w:ascii="Times New Roman" w:hAnsi="Times New Roman"/>
            <w:szCs w:val="22"/>
          </w:rPr>
          <w:t>http://intra.undp.org/coa/branding.shtml</w:t>
        </w:r>
      </w:hyperlink>
      <w:r w:rsidRPr="00174C5D">
        <w:rPr>
          <w:rFonts w:ascii="Times New Roman" w:hAnsi="Times New Roman"/>
          <w:szCs w:val="22"/>
        </w:rPr>
        <w:t xml:space="preserve">, et les directives spécifiques sur le logo PNUD peuvent être consultées à l'adresse : </w:t>
      </w:r>
      <w:hyperlink r:id="rId26" w:history="1">
        <w:r w:rsidRPr="00174C5D">
          <w:rPr>
            <w:rFonts w:ascii="Times New Roman" w:hAnsi="Times New Roman"/>
            <w:szCs w:val="22"/>
          </w:rPr>
          <w:t>http://intra.undp.org/branding/useOfLogo.html</w:t>
        </w:r>
      </w:hyperlink>
      <w:r w:rsidRPr="00174C5D">
        <w:rPr>
          <w:rFonts w:ascii="Times New Roman" w:hAnsi="Times New Roman"/>
          <w:szCs w:val="22"/>
        </w:rPr>
        <w:t>. Ces directives décrivent entre autres, les modalités d’utilisation du logo PNUD, ainsi que de l’utilisation des logos des donateurs des projets du PNUD. À des fins de clarification, lorsque l'utilisation du logo est exigée, le logo du PNUD doit être utilisé aux côtés du logo du FEM.</w:t>
      </w:r>
      <w:r w:rsidR="00C77FA3">
        <w:rPr>
          <w:rFonts w:ascii="Times New Roman" w:hAnsi="Times New Roman"/>
          <w:szCs w:val="22"/>
        </w:rPr>
        <w:t xml:space="preserve"> </w:t>
      </w:r>
      <w:r w:rsidRPr="00174C5D">
        <w:rPr>
          <w:rFonts w:ascii="Times New Roman" w:hAnsi="Times New Roman"/>
          <w:szCs w:val="22"/>
        </w:rPr>
        <w:t xml:space="preserve"> Le </w:t>
      </w:r>
      <w:hyperlink r:id="rId27" w:history="1">
        <w:r w:rsidRPr="00174C5D">
          <w:rPr>
            <w:rFonts w:ascii="Times New Roman" w:hAnsi="Times New Roman"/>
            <w:szCs w:val="22"/>
          </w:rPr>
          <w:t>logo du FEM</w:t>
        </w:r>
      </w:hyperlink>
      <w:r w:rsidRPr="00174C5D">
        <w:rPr>
          <w:rFonts w:ascii="Times New Roman" w:hAnsi="Times New Roman"/>
          <w:szCs w:val="22"/>
        </w:rPr>
        <w:t xml:space="preserve"> peut être obtenu à l'adresse : </w:t>
      </w:r>
      <w:hyperlink r:id="rId28" w:history="1">
        <w:r w:rsidRPr="00174C5D">
          <w:rPr>
            <w:rFonts w:ascii="Times New Roman" w:hAnsi="Times New Roman"/>
            <w:szCs w:val="22"/>
          </w:rPr>
          <w:t>http://www.thegef.org/gef/GEF_logo</w:t>
        </w:r>
      </w:hyperlink>
      <w:r w:rsidR="00FE65B7">
        <w:rPr>
          <w:rFonts w:ascii="Times New Roman" w:hAnsi="Times New Roman"/>
          <w:szCs w:val="22"/>
        </w:rPr>
        <w:t xml:space="preserve">. </w:t>
      </w:r>
      <w:r w:rsidRPr="00174C5D">
        <w:rPr>
          <w:rFonts w:ascii="Times New Roman" w:hAnsi="Times New Roman"/>
          <w:szCs w:val="22"/>
        </w:rPr>
        <w:t xml:space="preserve">Le </w:t>
      </w:r>
      <w:hyperlink r:id="rId29" w:history="1">
        <w:r w:rsidRPr="00174C5D">
          <w:rPr>
            <w:rFonts w:ascii="Times New Roman" w:hAnsi="Times New Roman"/>
            <w:szCs w:val="22"/>
          </w:rPr>
          <w:t>logo du PNUD</w:t>
        </w:r>
      </w:hyperlink>
      <w:r w:rsidRPr="00174C5D">
        <w:rPr>
          <w:rFonts w:ascii="Times New Roman" w:hAnsi="Times New Roman"/>
          <w:szCs w:val="22"/>
        </w:rPr>
        <w:t xml:space="preserve"> peut être obtenu à l'adresse </w:t>
      </w:r>
      <w:hyperlink r:id="rId30" w:history="1">
        <w:r w:rsidRPr="00174C5D">
          <w:rPr>
            <w:rFonts w:ascii="Times New Roman" w:hAnsi="Times New Roman"/>
            <w:szCs w:val="22"/>
          </w:rPr>
          <w:t>http://intra.undp.org/coa/branding.shtml</w:t>
        </w:r>
      </w:hyperlink>
      <w:r w:rsidRPr="00174C5D">
        <w:rPr>
          <w:rFonts w:ascii="Times New Roman" w:hAnsi="Times New Roman"/>
          <w:szCs w:val="22"/>
        </w:rPr>
        <w:t>.</w:t>
      </w:r>
    </w:p>
    <w:p w:rsidR="00205323" w:rsidRPr="00FE65B7" w:rsidRDefault="00205323" w:rsidP="00FE65B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hAnsi="Times New Roman"/>
          <w:szCs w:val="22"/>
        </w:rPr>
      </w:pPr>
      <w:r w:rsidRPr="00174C5D">
        <w:rPr>
          <w:rFonts w:ascii="Times New Roman" w:hAnsi="Times New Roman"/>
          <w:szCs w:val="22"/>
        </w:rPr>
        <w:t xml:space="preserve">Une stricte conformité est également exigée à l'égard des Directives du FEM en matière de visibilité et de communication (les « Directives du FEM »). Les Directives du FEM peuvent être consultées à l'adresse suivante : </w:t>
      </w:r>
      <w:hyperlink r:id="rId31" w:history="1">
        <w:r w:rsidRPr="00174C5D">
          <w:rPr>
            <w:rFonts w:ascii="Times New Roman" w:hAnsi="Times New Roman"/>
            <w:color w:val="0000FF"/>
            <w:szCs w:val="22"/>
            <w:u w:val="single"/>
          </w:rPr>
          <w:t>http://www.thegef.org/gef/sites/thegef.org/files/documents/C.40.08_Branding_the_GEF%20final_0.pdf</w:t>
        </w:r>
      </w:hyperlink>
      <w:r w:rsidR="00FE65B7">
        <w:rPr>
          <w:rFonts w:ascii="Times New Roman" w:hAnsi="Times New Roman"/>
          <w:szCs w:val="22"/>
        </w:rPr>
        <w:t xml:space="preserve">. </w:t>
      </w:r>
      <w:r w:rsidR="00FE65B7">
        <w:rPr>
          <w:rFonts w:ascii="Times New Roman" w:hAnsi="Times New Roman"/>
          <w:szCs w:val="22"/>
        </w:rPr>
        <w:br/>
      </w:r>
      <w:r w:rsidRPr="00174C5D">
        <w:rPr>
          <w:rFonts w:ascii="Times New Roman" w:hAnsi="Times New Roman"/>
          <w:szCs w:val="22"/>
        </w:rPr>
        <w:t>Les Directives du FEM décrivent entre autres, les modalités d’utilisation du logo du FEM dans les publications, sur les véhicules, les fournitures et autres él</w:t>
      </w:r>
      <w:r w:rsidR="00FE65B7">
        <w:rPr>
          <w:rFonts w:ascii="Times New Roman" w:hAnsi="Times New Roman"/>
          <w:szCs w:val="22"/>
        </w:rPr>
        <w:t xml:space="preserve">éments d'équipement du projet. </w:t>
      </w:r>
      <w:r w:rsidRPr="00174C5D">
        <w:rPr>
          <w:rFonts w:ascii="Times New Roman" w:hAnsi="Times New Roman"/>
          <w:szCs w:val="22"/>
        </w:rPr>
        <w:t xml:space="preserve">Les Directives du FEM décrivent également les autres exigences promotionnelles du FEM relatives aux communiqués de presse, conférences de presse, visites de presse, visites par des représentants gouvernementaux, productions et </w:t>
      </w:r>
      <w:r w:rsidR="00FE65B7">
        <w:rPr>
          <w:rFonts w:ascii="Times New Roman" w:hAnsi="Times New Roman"/>
          <w:szCs w:val="22"/>
        </w:rPr>
        <w:t>autres éléments promotionnels.</w:t>
      </w:r>
    </w:p>
    <w:p w:rsidR="00205323" w:rsidRPr="004F2CBA" w:rsidRDefault="00205323" w:rsidP="0020532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rPr>
          <w:rFonts w:ascii="Times New Roman" w:eastAsia="Arial Unicode MS" w:hAnsi="Times New Roman"/>
          <w:szCs w:val="22"/>
        </w:rPr>
      </w:pPr>
      <w:r w:rsidRPr="00174C5D">
        <w:rPr>
          <w:rFonts w:ascii="Times New Roman" w:hAnsi="Times New Roman"/>
          <w:szCs w:val="22"/>
        </w:rPr>
        <w:t>Lorsque d'autres agences et partenaires du projet ont apporté leur soutien par le biais d'un co-financement, leurs réglementations et exigences en matière de marques doivent également être respectées.</w:t>
      </w:r>
    </w:p>
    <w:p w:rsidR="00205323" w:rsidRPr="004F2CBA" w:rsidRDefault="00205323" w:rsidP="00205323">
      <w:pPr>
        <w:jc w:val="center"/>
        <w:rPr>
          <w:rFonts w:ascii="Times New Roman" w:hAnsi="Times New Roman"/>
          <w:b/>
          <w:szCs w:val="22"/>
        </w:rPr>
      </w:pPr>
    </w:p>
    <w:p w:rsidR="00FE65B7" w:rsidRPr="004F2CBA" w:rsidRDefault="00FE65B7" w:rsidP="00205323">
      <w:pPr>
        <w:jc w:val="center"/>
        <w:rPr>
          <w:rFonts w:ascii="Times New Roman" w:hAnsi="Times New Roman"/>
          <w:b/>
          <w:szCs w:val="22"/>
        </w:rPr>
      </w:pPr>
    </w:p>
    <w:p w:rsidR="00FE65B7" w:rsidRPr="004F2CBA" w:rsidRDefault="00FE65B7" w:rsidP="00205323">
      <w:pPr>
        <w:jc w:val="center"/>
        <w:rPr>
          <w:rFonts w:ascii="Times New Roman" w:hAnsi="Times New Roman"/>
          <w:b/>
          <w:szCs w:val="22"/>
        </w:rPr>
      </w:pPr>
    </w:p>
    <w:p w:rsidR="00FE65B7" w:rsidRPr="004F2CBA" w:rsidRDefault="00FE65B7" w:rsidP="00205323">
      <w:pPr>
        <w:jc w:val="center"/>
        <w:rPr>
          <w:rFonts w:ascii="Times New Roman" w:hAnsi="Times New Roman"/>
          <w:b/>
          <w:szCs w:val="22"/>
        </w:rPr>
      </w:pPr>
    </w:p>
    <w:p w:rsidR="00FE65B7" w:rsidRPr="004F2CBA" w:rsidRDefault="00FE65B7" w:rsidP="00205323">
      <w:pPr>
        <w:jc w:val="center"/>
        <w:rPr>
          <w:rFonts w:ascii="Times New Roman" w:hAnsi="Times New Roman"/>
          <w:b/>
          <w:szCs w:val="22"/>
        </w:rPr>
      </w:pPr>
    </w:p>
    <w:p w:rsidR="00205323" w:rsidRPr="00865A23" w:rsidRDefault="00205323" w:rsidP="00205323">
      <w:pPr>
        <w:ind w:left="-360"/>
        <w:rPr>
          <w:rFonts w:ascii="Times New Roman" w:hAnsi="Times New Roman"/>
          <w:b/>
          <w:szCs w:val="22"/>
        </w:rPr>
      </w:pPr>
      <w:r w:rsidRPr="00174C5D">
        <w:rPr>
          <w:rFonts w:ascii="Times New Roman" w:hAnsi="Times New Roman"/>
          <w:b/>
          <w:bCs/>
          <w:szCs w:val="22"/>
        </w:rPr>
        <w:t>Plan de travail et budget M&amp;E</w:t>
      </w:r>
    </w:p>
    <w:p w:rsidR="00205323" w:rsidRPr="00865A23" w:rsidRDefault="00205323" w:rsidP="00205323">
      <w:pPr>
        <w:rPr>
          <w:rFonts w:ascii="Times New Roman" w:hAnsi="Times New Roman"/>
          <w:b/>
          <w:szCs w:val="22"/>
        </w:rPr>
      </w:pPr>
    </w:p>
    <w:tbl>
      <w:tblPr>
        <w:tblW w:w="5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3363"/>
        <w:gridCol w:w="2240"/>
        <w:gridCol w:w="1978"/>
      </w:tblGrid>
      <w:tr w:rsidR="00205323" w:rsidRPr="00174C5D" w:rsidTr="00205323">
        <w:trPr>
          <w:tblHeader/>
          <w:jc w:val="center"/>
        </w:trPr>
        <w:tc>
          <w:tcPr>
            <w:tcW w:w="1271" w:type="pct"/>
            <w:shd w:val="clear" w:color="auto" w:fill="808080"/>
          </w:tcPr>
          <w:p w:rsidR="00205323" w:rsidRPr="00174C5D" w:rsidRDefault="00205323" w:rsidP="00205323">
            <w:pPr>
              <w:spacing w:after="200"/>
              <w:jc w:val="center"/>
              <w:rPr>
                <w:rFonts w:ascii="Times New Roman" w:hAnsi="Times New Roman"/>
                <w:b/>
                <w:szCs w:val="22"/>
                <w:lang w:val="en-GB"/>
              </w:rPr>
            </w:pPr>
            <w:r w:rsidRPr="00174C5D">
              <w:rPr>
                <w:rFonts w:ascii="Times New Roman" w:hAnsi="Times New Roman"/>
                <w:b/>
                <w:bCs/>
                <w:szCs w:val="22"/>
              </w:rPr>
              <w:lastRenderedPageBreak/>
              <w:t>Type d'activité M&amp;E</w:t>
            </w:r>
          </w:p>
        </w:tc>
        <w:tc>
          <w:tcPr>
            <w:tcW w:w="1654" w:type="pct"/>
            <w:shd w:val="clear" w:color="auto" w:fill="808080"/>
          </w:tcPr>
          <w:p w:rsidR="00205323" w:rsidRPr="00174C5D" w:rsidRDefault="00205323" w:rsidP="00205323">
            <w:pPr>
              <w:spacing w:after="200"/>
              <w:jc w:val="center"/>
              <w:rPr>
                <w:rFonts w:ascii="Times New Roman" w:hAnsi="Times New Roman"/>
                <w:b/>
                <w:szCs w:val="22"/>
                <w:lang w:val="en-GB"/>
              </w:rPr>
            </w:pPr>
            <w:r w:rsidRPr="00174C5D">
              <w:rPr>
                <w:rFonts w:ascii="Times New Roman" w:hAnsi="Times New Roman"/>
                <w:b/>
                <w:bCs/>
                <w:szCs w:val="22"/>
              </w:rPr>
              <w:t>Parties responsables</w:t>
            </w:r>
          </w:p>
        </w:tc>
        <w:tc>
          <w:tcPr>
            <w:tcW w:w="1102" w:type="pct"/>
            <w:shd w:val="clear" w:color="auto" w:fill="808080"/>
          </w:tcPr>
          <w:p w:rsidR="00205323" w:rsidRPr="00865A23" w:rsidRDefault="00205323" w:rsidP="00205323">
            <w:pPr>
              <w:spacing w:after="200"/>
              <w:jc w:val="center"/>
              <w:rPr>
                <w:rFonts w:ascii="Times New Roman" w:hAnsi="Times New Roman"/>
                <w:b/>
                <w:szCs w:val="22"/>
              </w:rPr>
            </w:pPr>
            <w:r w:rsidRPr="00174C5D">
              <w:rPr>
                <w:rFonts w:ascii="Times New Roman" w:hAnsi="Times New Roman"/>
                <w:b/>
                <w:bCs/>
                <w:szCs w:val="22"/>
              </w:rPr>
              <w:t>Budget US$</w:t>
            </w:r>
          </w:p>
          <w:p w:rsidR="00205323" w:rsidRPr="00865A23" w:rsidRDefault="00205323" w:rsidP="00205323">
            <w:pPr>
              <w:spacing w:after="200"/>
              <w:jc w:val="center"/>
              <w:rPr>
                <w:rFonts w:ascii="Times New Roman" w:hAnsi="Times New Roman"/>
                <w:bCs/>
                <w:i/>
                <w:iCs/>
                <w:szCs w:val="22"/>
              </w:rPr>
            </w:pPr>
            <w:r w:rsidRPr="00174C5D">
              <w:rPr>
                <w:rFonts w:ascii="Times New Roman" w:hAnsi="Times New Roman"/>
                <w:i/>
                <w:iCs/>
                <w:szCs w:val="22"/>
              </w:rPr>
              <w:t>Hors temps de travail de l'équipe du projet</w:t>
            </w:r>
          </w:p>
        </w:tc>
        <w:tc>
          <w:tcPr>
            <w:tcW w:w="973" w:type="pct"/>
            <w:shd w:val="clear" w:color="auto" w:fill="808080"/>
          </w:tcPr>
          <w:p w:rsidR="00205323" w:rsidRPr="00174C5D" w:rsidRDefault="00205323" w:rsidP="00205323">
            <w:pPr>
              <w:spacing w:after="200"/>
              <w:rPr>
                <w:rFonts w:ascii="Times New Roman" w:hAnsi="Times New Roman"/>
                <w:b/>
                <w:szCs w:val="22"/>
                <w:lang w:val="en-GB"/>
              </w:rPr>
            </w:pPr>
            <w:r w:rsidRPr="00174C5D">
              <w:rPr>
                <w:rFonts w:ascii="Times New Roman" w:hAnsi="Times New Roman"/>
                <w:b/>
                <w:bCs/>
                <w:szCs w:val="22"/>
              </w:rPr>
              <w:t xml:space="preserve">Calendrier </w:t>
            </w:r>
          </w:p>
        </w:tc>
      </w:tr>
      <w:tr w:rsidR="00205323" w:rsidRPr="00174C5D" w:rsidTr="00205323">
        <w:trPr>
          <w:jc w:val="center"/>
        </w:trPr>
        <w:tc>
          <w:tcPr>
            <w:tcW w:w="1271" w:type="pct"/>
            <w:vAlign w:val="center"/>
          </w:tcPr>
          <w:p w:rsidR="00205323" w:rsidRPr="00865A23" w:rsidRDefault="00205323" w:rsidP="00FE65B7">
            <w:pPr>
              <w:spacing w:after="200"/>
              <w:jc w:val="left"/>
              <w:rPr>
                <w:rFonts w:ascii="Times New Roman" w:hAnsi="Times New Roman"/>
                <w:szCs w:val="22"/>
              </w:rPr>
            </w:pPr>
            <w:r w:rsidRPr="00174C5D">
              <w:rPr>
                <w:rFonts w:ascii="Times New Roman" w:hAnsi="Times New Roman"/>
                <w:szCs w:val="22"/>
              </w:rPr>
              <w:t>Atelier de lancement et rapport</w:t>
            </w:r>
          </w:p>
        </w:tc>
        <w:tc>
          <w:tcPr>
            <w:tcW w:w="1654" w:type="pct"/>
            <w:vAlign w:val="center"/>
          </w:tcPr>
          <w:p w:rsidR="00205323" w:rsidRPr="00174C5D" w:rsidRDefault="00205323" w:rsidP="000C4537">
            <w:pPr>
              <w:numPr>
                <w:ilvl w:val="0"/>
                <w:numId w:val="31"/>
              </w:numPr>
              <w:tabs>
                <w:tab w:val="left" w:pos="360"/>
              </w:tabs>
              <w:spacing w:after="200"/>
              <w:jc w:val="left"/>
              <w:rPr>
                <w:rFonts w:ascii="Times New Roman" w:hAnsi="Times New Roman"/>
                <w:szCs w:val="22"/>
                <w:lang w:val="en-GB"/>
              </w:rPr>
            </w:pPr>
            <w:r w:rsidRPr="00174C5D">
              <w:rPr>
                <w:rFonts w:ascii="Times New Roman" w:hAnsi="Times New Roman"/>
                <w:szCs w:val="22"/>
              </w:rPr>
              <w:t>Chef de projet</w:t>
            </w:r>
          </w:p>
          <w:p w:rsidR="00205323" w:rsidRPr="00865A23" w:rsidRDefault="00205323" w:rsidP="000C4537">
            <w:pPr>
              <w:numPr>
                <w:ilvl w:val="0"/>
                <w:numId w:val="31"/>
              </w:numPr>
              <w:tabs>
                <w:tab w:val="left" w:pos="360"/>
              </w:tabs>
              <w:spacing w:after="0"/>
              <w:jc w:val="left"/>
              <w:rPr>
                <w:rFonts w:ascii="Times New Roman" w:hAnsi="Times New Roman"/>
                <w:szCs w:val="22"/>
              </w:rPr>
            </w:pPr>
            <w:r w:rsidRPr="00174C5D">
              <w:rPr>
                <w:rFonts w:ascii="Times New Roman" w:hAnsi="Times New Roman"/>
                <w:szCs w:val="22"/>
              </w:rPr>
              <w:t>Bureau Pays PNUD, FEM PNUD</w:t>
            </w:r>
          </w:p>
        </w:tc>
        <w:tc>
          <w:tcPr>
            <w:tcW w:w="1102" w:type="pct"/>
            <w:vAlign w:val="center"/>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Coût indicatif : 12 000</w:t>
            </w:r>
          </w:p>
        </w:tc>
        <w:tc>
          <w:tcPr>
            <w:tcW w:w="973" w:type="pct"/>
          </w:tcPr>
          <w:p w:rsidR="00205323" w:rsidRPr="00865A23" w:rsidRDefault="00205323" w:rsidP="00FE65B7">
            <w:pPr>
              <w:jc w:val="left"/>
              <w:rPr>
                <w:rFonts w:ascii="Times New Roman" w:hAnsi="Times New Roman"/>
                <w:szCs w:val="22"/>
              </w:rPr>
            </w:pPr>
            <w:r w:rsidRPr="00174C5D">
              <w:rPr>
                <w:rFonts w:ascii="Times New Roman" w:hAnsi="Times New Roman"/>
                <w:szCs w:val="22"/>
              </w:rPr>
              <w:t xml:space="preserve">Dans les deux mois du lancement du projet. </w:t>
            </w:r>
          </w:p>
        </w:tc>
      </w:tr>
      <w:tr w:rsidR="00205323" w:rsidRPr="00174C5D" w:rsidTr="00205323">
        <w:trPr>
          <w:jc w:val="center"/>
        </w:trPr>
        <w:tc>
          <w:tcPr>
            <w:tcW w:w="1271" w:type="pct"/>
          </w:tcPr>
          <w:p w:rsidR="00205323" w:rsidRPr="00865A23" w:rsidRDefault="00205323" w:rsidP="00FE65B7">
            <w:pPr>
              <w:spacing w:after="200"/>
              <w:jc w:val="left"/>
              <w:rPr>
                <w:rFonts w:ascii="Times New Roman" w:hAnsi="Times New Roman"/>
                <w:szCs w:val="22"/>
              </w:rPr>
            </w:pPr>
            <w:r w:rsidRPr="00174C5D">
              <w:rPr>
                <w:rFonts w:ascii="Times New Roman" w:hAnsi="Times New Roman"/>
                <w:szCs w:val="22"/>
              </w:rPr>
              <w:t>Mesure des moyens de vérification des résultats du projet.</w:t>
            </w:r>
          </w:p>
        </w:tc>
        <w:tc>
          <w:tcPr>
            <w:tcW w:w="1654" w:type="pct"/>
          </w:tcPr>
          <w:p w:rsidR="00205323" w:rsidRPr="00865A23" w:rsidRDefault="00205323" w:rsidP="000C4537">
            <w:pPr>
              <w:numPr>
                <w:ilvl w:val="0"/>
                <w:numId w:val="30"/>
              </w:numPr>
              <w:tabs>
                <w:tab w:val="left" w:pos="360"/>
              </w:tabs>
              <w:spacing w:after="0"/>
              <w:jc w:val="left"/>
              <w:rPr>
                <w:rFonts w:ascii="Times New Roman" w:hAnsi="Times New Roman"/>
                <w:szCs w:val="22"/>
              </w:rPr>
            </w:pPr>
            <w:r w:rsidRPr="00174C5D">
              <w:rPr>
                <w:rFonts w:ascii="Times New Roman" w:hAnsi="Times New Roman"/>
                <w:szCs w:val="22"/>
              </w:rPr>
              <w:t>Le Conseiller technique régional (RTA - Regional Technical Advisor)/Chef de projet du PNUD FEM supervisera le recours aux études et institutions spécifiques, et assurera la délégation des responsabilités aux membres compétents de l'équipe.</w:t>
            </w:r>
          </w:p>
        </w:tc>
        <w:tc>
          <w:tcPr>
            <w:tcW w:w="1102" w:type="pct"/>
          </w:tcPr>
          <w:p w:rsidR="00205323" w:rsidRPr="004F2CBA" w:rsidRDefault="00205323" w:rsidP="00FE65B7">
            <w:pPr>
              <w:jc w:val="left"/>
              <w:rPr>
                <w:rFonts w:ascii="Times New Roman" w:hAnsi="Times New Roman"/>
                <w:szCs w:val="22"/>
                <w:lang w:val="es-ES_tradnl"/>
              </w:rPr>
            </w:pPr>
            <w:r w:rsidRPr="00174C5D">
              <w:rPr>
                <w:rFonts w:ascii="Times New Roman" w:hAnsi="Times New Roman"/>
                <w:szCs w:val="22"/>
              </w:rPr>
              <w:t xml:space="preserve">À finaliser lors de l'Atelier et de la Phase de lancement. </w:t>
            </w:r>
          </w:p>
          <w:p w:rsidR="00205323" w:rsidRPr="004F2CBA" w:rsidRDefault="00205323" w:rsidP="00FE65B7">
            <w:pPr>
              <w:spacing w:after="200"/>
              <w:jc w:val="left"/>
              <w:rPr>
                <w:rFonts w:ascii="Times New Roman" w:hAnsi="Times New Roman"/>
                <w:szCs w:val="22"/>
                <w:lang w:val="es-ES_tradnl"/>
              </w:rPr>
            </w:pPr>
          </w:p>
        </w:tc>
        <w:tc>
          <w:tcPr>
            <w:tcW w:w="973" w:type="pct"/>
          </w:tcPr>
          <w:p w:rsidR="00205323" w:rsidRPr="00865A23" w:rsidRDefault="00205323" w:rsidP="00FE65B7">
            <w:pPr>
              <w:jc w:val="left"/>
              <w:rPr>
                <w:rFonts w:ascii="Times New Roman" w:hAnsi="Times New Roman"/>
                <w:szCs w:val="22"/>
              </w:rPr>
            </w:pPr>
            <w:r w:rsidRPr="00174C5D">
              <w:rPr>
                <w:rFonts w:ascii="Times New Roman" w:hAnsi="Times New Roman"/>
                <w:szCs w:val="22"/>
              </w:rPr>
              <w:t>Début, mi-parcours et fin du projet (pendant le cycle d'évaluation) et annuellement si besoin est.</w:t>
            </w:r>
          </w:p>
        </w:tc>
      </w:tr>
      <w:tr w:rsidR="00205323" w:rsidRPr="00174C5D" w:rsidTr="00205323">
        <w:trPr>
          <w:jc w:val="center"/>
        </w:trPr>
        <w:tc>
          <w:tcPr>
            <w:tcW w:w="1271" w:type="pct"/>
          </w:tcPr>
          <w:p w:rsidR="00205323" w:rsidRPr="00865A23" w:rsidRDefault="00205323" w:rsidP="00FE65B7">
            <w:pPr>
              <w:jc w:val="left"/>
              <w:rPr>
                <w:rFonts w:ascii="Times New Roman" w:hAnsi="Times New Roman"/>
                <w:szCs w:val="22"/>
              </w:rPr>
            </w:pPr>
            <w:r w:rsidRPr="00174C5D">
              <w:rPr>
                <w:rFonts w:ascii="Times New Roman" w:hAnsi="Times New Roman"/>
                <w:szCs w:val="22"/>
              </w:rPr>
              <w:t>Mesure des moyens de vérification pour l'avancement du Projet quant aux produits et à la mise en œuvre.</w:t>
            </w:r>
          </w:p>
        </w:tc>
        <w:tc>
          <w:tcPr>
            <w:tcW w:w="1654" w:type="pct"/>
          </w:tcPr>
          <w:p w:rsidR="00205323" w:rsidRPr="00174C5D" w:rsidRDefault="00205323" w:rsidP="000C4537">
            <w:pPr>
              <w:numPr>
                <w:ilvl w:val="0"/>
                <w:numId w:val="30"/>
              </w:numPr>
              <w:tabs>
                <w:tab w:val="left" w:pos="360"/>
              </w:tabs>
              <w:spacing w:after="200"/>
              <w:jc w:val="left"/>
              <w:rPr>
                <w:rFonts w:ascii="Times New Roman" w:hAnsi="Times New Roman"/>
                <w:szCs w:val="22"/>
                <w:lang w:val="en-GB"/>
              </w:rPr>
            </w:pPr>
            <w:r w:rsidRPr="00174C5D">
              <w:rPr>
                <w:rFonts w:ascii="Times New Roman" w:hAnsi="Times New Roman"/>
                <w:szCs w:val="22"/>
              </w:rPr>
              <w:t xml:space="preserve">Supervision du Chef de projet </w:t>
            </w:r>
          </w:p>
          <w:p w:rsidR="00205323" w:rsidRPr="00174C5D" w:rsidRDefault="00205323" w:rsidP="000C4537">
            <w:pPr>
              <w:numPr>
                <w:ilvl w:val="0"/>
                <w:numId w:val="30"/>
              </w:numPr>
              <w:tabs>
                <w:tab w:val="left" w:pos="360"/>
              </w:tabs>
              <w:spacing w:after="200"/>
              <w:jc w:val="left"/>
              <w:rPr>
                <w:rFonts w:ascii="Times New Roman" w:hAnsi="Times New Roman"/>
                <w:szCs w:val="22"/>
                <w:lang w:val="en-GB"/>
              </w:rPr>
            </w:pPr>
            <w:r w:rsidRPr="00174C5D">
              <w:rPr>
                <w:rFonts w:ascii="Times New Roman" w:hAnsi="Times New Roman"/>
                <w:szCs w:val="22"/>
              </w:rPr>
              <w:t xml:space="preserve">Équipe de projet </w:t>
            </w:r>
          </w:p>
        </w:tc>
        <w:tc>
          <w:tcPr>
            <w:tcW w:w="1102" w:type="pct"/>
          </w:tcPr>
          <w:p w:rsidR="00205323" w:rsidRPr="004F2CBA" w:rsidRDefault="00205323" w:rsidP="00FE65B7">
            <w:pPr>
              <w:spacing w:after="200"/>
              <w:jc w:val="left"/>
              <w:rPr>
                <w:rFonts w:ascii="Times New Roman" w:hAnsi="Times New Roman"/>
                <w:szCs w:val="22"/>
                <w:lang w:val="es-ES_tradnl"/>
              </w:rPr>
            </w:pPr>
            <w:r w:rsidRPr="00174C5D">
              <w:rPr>
                <w:rFonts w:ascii="Times New Roman" w:hAnsi="Times New Roman"/>
                <w:szCs w:val="22"/>
              </w:rPr>
              <w:t xml:space="preserve">À déterminer dans le cadre de la préparation du Plan de travail annuel. </w:t>
            </w:r>
          </w:p>
        </w:tc>
        <w:tc>
          <w:tcPr>
            <w:tcW w:w="973" w:type="pct"/>
          </w:tcPr>
          <w:p w:rsidR="00205323" w:rsidRPr="00865A23" w:rsidRDefault="00205323" w:rsidP="00FE65B7">
            <w:pPr>
              <w:spacing w:after="200"/>
              <w:jc w:val="left"/>
              <w:rPr>
                <w:rFonts w:ascii="Times New Roman" w:hAnsi="Times New Roman"/>
                <w:szCs w:val="22"/>
              </w:rPr>
            </w:pPr>
            <w:r w:rsidRPr="00174C5D">
              <w:rPr>
                <w:rFonts w:ascii="Times New Roman" w:hAnsi="Times New Roman"/>
                <w:szCs w:val="22"/>
              </w:rPr>
              <w:t xml:space="preserve">Annuellement avant l'ARR/PIR et la définition des plans de travail annuels </w:t>
            </w:r>
          </w:p>
        </w:tc>
      </w:tr>
      <w:tr w:rsidR="00205323" w:rsidRPr="00174C5D" w:rsidTr="00205323">
        <w:trPr>
          <w:jc w:val="center"/>
        </w:trPr>
        <w:tc>
          <w:tcPr>
            <w:tcW w:w="1271"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ARR/PIR</w:t>
            </w:r>
          </w:p>
        </w:tc>
        <w:tc>
          <w:tcPr>
            <w:tcW w:w="1654" w:type="pct"/>
          </w:tcPr>
          <w:p w:rsidR="00205323" w:rsidRPr="00174C5D" w:rsidRDefault="00205323" w:rsidP="000C4537">
            <w:pPr>
              <w:numPr>
                <w:ilvl w:val="0"/>
                <w:numId w:val="30"/>
              </w:numPr>
              <w:tabs>
                <w:tab w:val="left" w:pos="360"/>
              </w:tabs>
              <w:spacing w:after="0"/>
              <w:jc w:val="left"/>
              <w:rPr>
                <w:rFonts w:ascii="Times New Roman" w:hAnsi="Times New Roman"/>
                <w:szCs w:val="22"/>
                <w:lang w:val="en-GB"/>
              </w:rPr>
            </w:pPr>
            <w:r w:rsidRPr="00174C5D">
              <w:rPr>
                <w:rFonts w:ascii="Times New Roman" w:hAnsi="Times New Roman"/>
                <w:szCs w:val="22"/>
              </w:rPr>
              <w:t xml:space="preserve">Chef de projet et équipe </w:t>
            </w:r>
          </w:p>
          <w:p w:rsidR="00205323" w:rsidRPr="00174C5D" w:rsidRDefault="00205323" w:rsidP="000C4537">
            <w:pPr>
              <w:numPr>
                <w:ilvl w:val="0"/>
                <w:numId w:val="30"/>
              </w:numPr>
              <w:tabs>
                <w:tab w:val="left" w:pos="360"/>
              </w:tabs>
              <w:spacing w:after="0"/>
              <w:jc w:val="left"/>
              <w:rPr>
                <w:rFonts w:ascii="Times New Roman" w:hAnsi="Times New Roman"/>
                <w:szCs w:val="22"/>
                <w:lang w:val="en-GB"/>
              </w:rPr>
            </w:pPr>
            <w:r w:rsidRPr="00174C5D">
              <w:rPr>
                <w:rFonts w:ascii="Times New Roman" w:hAnsi="Times New Roman"/>
                <w:szCs w:val="22"/>
              </w:rPr>
              <w:t>Bureau Pays de la PNUD</w:t>
            </w:r>
          </w:p>
          <w:p w:rsidR="00205323" w:rsidRPr="00174C5D" w:rsidRDefault="00205323" w:rsidP="000C4537">
            <w:pPr>
              <w:numPr>
                <w:ilvl w:val="0"/>
                <w:numId w:val="30"/>
              </w:numPr>
              <w:tabs>
                <w:tab w:val="left" w:pos="360"/>
              </w:tabs>
              <w:spacing w:after="0"/>
              <w:jc w:val="left"/>
              <w:rPr>
                <w:rFonts w:ascii="Times New Roman" w:hAnsi="Times New Roman"/>
                <w:szCs w:val="22"/>
                <w:lang w:val="en-GB"/>
              </w:rPr>
            </w:pPr>
            <w:r w:rsidRPr="00174C5D">
              <w:rPr>
                <w:rFonts w:ascii="Times New Roman" w:hAnsi="Times New Roman"/>
                <w:szCs w:val="22"/>
              </w:rPr>
              <w:t>RTA du PNUD</w:t>
            </w:r>
          </w:p>
          <w:p w:rsidR="00205323" w:rsidRPr="004F2CBA" w:rsidRDefault="00205323" w:rsidP="000C4537">
            <w:pPr>
              <w:numPr>
                <w:ilvl w:val="0"/>
                <w:numId w:val="30"/>
              </w:numPr>
              <w:tabs>
                <w:tab w:val="left" w:pos="360"/>
              </w:tabs>
              <w:spacing w:after="0"/>
              <w:jc w:val="left"/>
              <w:rPr>
                <w:rFonts w:ascii="Times New Roman" w:hAnsi="Times New Roman"/>
                <w:szCs w:val="22"/>
                <w:lang w:val="es-ES_tradnl"/>
              </w:rPr>
            </w:pPr>
            <w:r w:rsidRPr="00174C5D">
              <w:rPr>
                <w:rFonts w:ascii="Times New Roman" w:hAnsi="Times New Roman"/>
                <w:szCs w:val="22"/>
              </w:rPr>
              <w:t>EEG (Groupe de l'énergie et de l'environnement) du PNUD</w:t>
            </w:r>
          </w:p>
        </w:tc>
        <w:tc>
          <w:tcPr>
            <w:tcW w:w="1102"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Aucun</w:t>
            </w:r>
          </w:p>
        </w:tc>
        <w:tc>
          <w:tcPr>
            <w:tcW w:w="973"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 xml:space="preserve">Annuellement </w:t>
            </w:r>
          </w:p>
        </w:tc>
      </w:tr>
      <w:tr w:rsidR="00205323" w:rsidRPr="00174C5D" w:rsidTr="00205323">
        <w:trPr>
          <w:jc w:val="center"/>
        </w:trPr>
        <w:tc>
          <w:tcPr>
            <w:tcW w:w="1271" w:type="pct"/>
          </w:tcPr>
          <w:p w:rsidR="00205323" w:rsidRPr="00865A23" w:rsidRDefault="00205323" w:rsidP="00FE65B7">
            <w:pPr>
              <w:jc w:val="left"/>
              <w:rPr>
                <w:rFonts w:ascii="Times New Roman" w:hAnsi="Times New Roman"/>
                <w:szCs w:val="22"/>
              </w:rPr>
            </w:pPr>
            <w:r w:rsidRPr="00174C5D">
              <w:rPr>
                <w:rFonts w:ascii="Times New Roman" w:hAnsi="Times New Roman"/>
                <w:szCs w:val="22"/>
              </w:rPr>
              <w:t>Rapport périodiques de situation/d'avancement</w:t>
            </w:r>
          </w:p>
        </w:tc>
        <w:tc>
          <w:tcPr>
            <w:tcW w:w="1654" w:type="pct"/>
          </w:tcPr>
          <w:p w:rsidR="00205323" w:rsidRPr="00865A23" w:rsidRDefault="00205323" w:rsidP="000C4537">
            <w:pPr>
              <w:numPr>
                <w:ilvl w:val="0"/>
                <w:numId w:val="32"/>
              </w:numPr>
              <w:tabs>
                <w:tab w:val="left" w:pos="360"/>
              </w:tabs>
              <w:spacing w:after="200"/>
              <w:jc w:val="left"/>
              <w:rPr>
                <w:rFonts w:ascii="Times New Roman" w:hAnsi="Times New Roman"/>
                <w:szCs w:val="22"/>
              </w:rPr>
            </w:pPr>
            <w:r w:rsidRPr="00174C5D">
              <w:rPr>
                <w:rFonts w:ascii="Times New Roman" w:hAnsi="Times New Roman"/>
                <w:szCs w:val="22"/>
              </w:rPr>
              <w:t>Chef de projet et équipe</w:t>
            </w:r>
            <w:r w:rsidR="00C77FA3">
              <w:rPr>
                <w:rFonts w:ascii="Times New Roman" w:hAnsi="Times New Roman"/>
                <w:szCs w:val="22"/>
              </w:rPr>
              <w:t xml:space="preserve"> </w:t>
            </w:r>
          </w:p>
        </w:tc>
        <w:tc>
          <w:tcPr>
            <w:tcW w:w="1102"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Aucun</w:t>
            </w:r>
          </w:p>
        </w:tc>
        <w:tc>
          <w:tcPr>
            <w:tcW w:w="973"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Trimestriellement</w:t>
            </w:r>
          </w:p>
        </w:tc>
      </w:tr>
      <w:tr w:rsidR="00205323" w:rsidRPr="00174C5D" w:rsidTr="00205323">
        <w:trPr>
          <w:jc w:val="center"/>
        </w:trPr>
        <w:tc>
          <w:tcPr>
            <w:tcW w:w="1271"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Revue à mi-parcours</w:t>
            </w:r>
          </w:p>
        </w:tc>
        <w:tc>
          <w:tcPr>
            <w:tcW w:w="1654" w:type="pct"/>
          </w:tcPr>
          <w:p w:rsidR="00205323" w:rsidRPr="00174C5D" w:rsidRDefault="00205323" w:rsidP="000C4537">
            <w:pPr>
              <w:numPr>
                <w:ilvl w:val="0"/>
                <w:numId w:val="32"/>
              </w:numPr>
              <w:tabs>
                <w:tab w:val="left" w:pos="360"/>
              </w:tabs>
              <w:spacing w:after="0"/>
              <w:jc w:val="left"/>
              <w:rPr>
                <w:rFonts w:ascii="Times New Roman" w:hAnsi="Times New Roman"/>
                <w:szCs w:val="22"/>
                <w:lang w:val="en-GB"/>
              </w:rPr>
            </w:pPr>
            <w:r w:rsidRPr="00174C5D">
              <w:rPr>
                <w:rFonts w:ascii="Times New Roman" w:hAnsi="Times New Roman"/>
                <w:szCs w:val="22"/>
              </w:rPr>
              <w:t xml:space="preserve">Chef de projet et équipe </w:t>
            </w:r>
          </w:p>
          <w:p w:rsidR="00205323" w:rsidRPr="00174C5D" w:rsidRDefault="00205323" w:rsidP="000C4537">
            <w:pPr>
              <w:numPr>
                <w:ilvl w:val="0"/>
                <w:numId w:val="32"/>
              </w:numPr>
              <w:tabs>
                <w:tab w:val="left" w:pos="360"/>
              </w:tabs>
              <w:spacing w:after="0"/>
              <w:jc w:val="left"/>
              <w:rPr>
                <w:rFonts w:ascii="Times New Roman" w:hAnsi="Times New Roman"/>
                <w:szCs w:val="22"/>
                <w:lang w:val="en-GB"/>
              </w:rPr>
            </w:pPr>
            <w:r w:rsidRPr="00174C5D">
              <w:rPr>
                <w:rFonts w:ascii="Times New Roman" w:hAnsi="Times New Roman"/>
                <w:szCs w:val="22"/>
              </w:rPr>
              <w:t>Bureau Pays de la PNUD</w:t>
            </w:r>
          </w:p>
          <w:p w:rsidR="00205323" w:rsidRPr="004F2CBA" w:rsidRDefault="00205323" w:rsidP="000C4537">
            <w:pPr>
              <w:numPr>
                <w:ilvl w:val="0"/>
                <w:numId w:val="32"/>
              </w:numPr>
              <w:tabs>
                <w:tab w:val="left" w:pos="360"/>
              </w:tabs>
              <w:spacing w:after="0"/>
              <w:jc w:val="left"/>
              <w:rPr>
                <w:rFonts w:ascii="Times New Roman" w:hAnsi="Times New Roman"/>
                <w:szCs w:val="22"/>
                <w:lang w:val="es-ES_tradnl"/>
              </w:rPr>
            </w:pPr>
            <w:r w:rsidRPr="00174C5D">
              <w:rPr>
                <w:rFonts w:ascii="Times New Roman" w:hAnsi="Times New Roman"/>
                <w:szCs w:val="22"/>
              </w:rPr>
              <w:t>RCU (Unité régionale de coordination) du PNUD</w:t>
            </w:r>
          </w:p>
          <w:p w:rsidR="00205323" w:rsidRPr="00AE708E" w:rsidRDefault="00205323" w:rsidP="000C4537">
            <w:pPr>
              <w:numPr>
                <w:ilvl w:val="0"/>
                <w:numId w:val="32"/>
              </w:numPr>
              <w:tabs>
                <w:tab w:val="left" w:pos="360"/>
              </w:tabs>
              <w:spacing w:after="0"/>
              <w:jc w:val="left"/>
              <w:rPr>
                <w:rFonts w:ascii="Times New Roman" w:hAnsi="Times New Roman"/>
                <w:szCs w:val="22"/>
              </w:rPr>
            </w:pPr>
            <w:r w:rsidRPr="00174C5D">
              <w:rPr>
                <w:rFonts w:ascii="Times New Roman" w:hAnsi="Times New Roman"/>
                <w:szCs w:val="22"/>
              </w:rPr>
              <w:t>Consultants externes (par ex. Équipe d'évaluation)</w:t>
            </w:r>
          </w:p>
        </w:tc>
        <w:tc>
          <w:tcPr>
            <w:tcW w:w="1102"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Coût indicatif : 35 000</w:t>
            </w:r>
          </w:p>
        </w:tc>
        <w:tc>
          <w:tcPr>
            <w:tcW w:w="973" w:type="pct"/>
          </w:tcPr>
          <w:p w:rsidR="00205323" w:rsidRPr="004F2CBA" w:rsidRDefault="00205323" w:rsidP="00FE65B7">
            <w:pPr>
              <w:spacing w:after="200"/>
              <w:jc w:val="left"/>
              <w:rPr>
                <w:rFonts w:ascii="Times New Roman" w:hAnsi="Times New Roman"/>
                <w:szCs w:val="22"/>
                <w:lang w:val="es-ES_tradnl"/>
              </w:rPr>
            </w:pPr>
            <w:r w:rsidRPr="00174C5D">
              <w:rPr>
                <w:rFonts w:ascii="Times New Roman" w:hAnsi="Times New Roman"/>
                <w:szCs w:val="22"/>
              </w:rPr>
              <w:t xml:space="preserve">À la mi-parcours de l'exécution du projet. </w:t>
            </w:r>
          </w:p>
        </w:tc>
      </w:tr>
      <w:tr w:rsidR="00205323" w:rsidRPr="00174C5D" w:rsidTr="00205323">
        <w:trPr>
          <w:jc w:val="center"/>
        </w:trPr>
        <w:tc>
          <w:tcPr>
            <w:tcW w:w="1271"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Évaluation finale</w:t>
            </w:r>
          </w:p>
        </w:tc>
        <w:tc>
          <w:tcPr>
            <w:tcW w:w="1654" w:type="pct"/>
          </w:tcPr>
          <w:p w:rsidR="00205323" w:rsidRPr="00865A23" w:rsidRDefault="00205323" w:rsidP="000C4537">
            <w:pPr>
              <w:numPr>
                <w:ilvl w:val="0"/>
                <w:numId w:val="33"/>
              </w:numPr>
              <w:tabs>
                <w:tab w:val="left" w:pos="360"/>
              </w:tabs>
              <w:spacing w:after="0"/>
              <w:jc w:val="left"/>
              <w:rPr>
                <w:rFonts w:ascii="Times New Roman" w:hAnsi="Times New Roman"/>
                <w:szCs w:val="22"/>
              </w:rPr>
            </w:pPr>
            <w:r w:rsidRPr="00174C5D">
              <w:rPr>
                <w:rFonts w:ascii="Times New Roman" w:hAnsi="Times New Roman"/>
                <w:szCs w:val="22"/>
              </w:rPr>
              <w:t>Chef de projet et équipe.</w:t>
            </w:r>
          </w:p>
          <w:p w:rsidR="00205323" w:rsidRPr="00174C5D" w:rsidRDefault="00205323" w:rsidP="000C4537">
            <w:pPr>
              <w:numPr>
                <w:ilvl w:val="0"/>
                <w:numId w:val="33"/>
              </w:numPr>
              <w:tabs>
                <w:tab w:val="left" w:pos="360"/>
              </w:tabs>
              <w:spacing w:after="0"/>
              <w:jc w:val="left"/>
              <w:rPr>
                <w:rFonts w:ascii="Times New Roman" w:hAnsi="Times New Roman"/>
                <w:szCs w:val="22"/>
                <w:lang w:val="en-GB"/>
              </w:rPr>
            </w:pPr>
            <w:r w:rsidRPr="00174C5D">
              <w:rPr>
                <w:rFonts w:ascii="Times New Roman" w:hAnsi="Times New Roman"/>
                <w:szCs w:val="22"/>
              </w:rPr>
              <w:t>Bureau Pays de la PNUD</w:t>
            </w:r>
          </w:p>
          <w:p w:rsidR="00205323" w:rsidRPr="004F2CBA" w:rsidRDefault="00205323" w:rsidP="000C4537">
            <w:pPr>
              <w:numPr>
                <w:ilvl w:val="0"/>
                <w:numId w:val="33"/>
              </w:numPr>
              <w:tabs>
                <w:tab w:val="left" w:pos="360"/>
              </w:tabs>
              <w:spacing w:after="0"/>
              <w:jc w:val="left"/>
              <w:rPr>
                <w:rFonts w:ascii="Times New Roman" w:hAnsi="Times New Roman"/>
                <w:szCs w:val="22"/>
                <w:lang w:val="es-ES_tradnl"/>
              </w:rPr>
            </w:pPr>
            <w:r w:rsidRPr="00174C5D">
              <w:rPr>
                <w:rFonts w:ascii="Times New Roman" w:hAnsi="Times New Roman"/>
                <w:szCs w:val="22"/>
              </w:rPr>
              <w:t>RCU (Unité régionale de coordination) du PNUD</w:t>
            </w:r>
          </w:p>
          <w:p w:rsidR="00205323" w:rsidRPr="00AE708E" w:rsidRDefault="00205323" w:rsidP="000C4537">
            <w:pPr>
              <w:numPr>
                <w:ilvl w:val="0"/>
                <w:numId w:val="33"/>
              </w:numPr>
              <w:tabs>
                <w:tab w:val="left" w:pos="360"/>
              </w:tabs>
              <w:spacing w:after="0"/>
              <w:jc w:val="left"/>
              <w:rPr>
                <w:rFonts w:ascii="Times New Roman" w:hAnsi="Times New Roman"/>
                <w:szCs w:val="22"/>
              </w:rPr>
            </w:pPr>
            <w:r w:rsidRPr="00174C5D">
              <w:rPr>
                <w:rFonts w:ascii="Times New Roman" w:hAnsi="Times New Roman"/>
                <w:szCs w:val="22"/>
              </w:rPr>
              <w:t>Consultants externes (par ex. Équipe d'évaluation).</w:t>
            </w:r>
          </w:p>
        </w:tc>
        <w:tc>
          <w:tcPr>
            <w:tcW w:w="1102" w:type="pct"/>
          </w:tcPr>
          <w:p w:rsidR="00205323" w:rsidRPr="00174C5D" w:rsidRDefault="00205323" w:rsidP="00FE65B7">
            <w:pPr>
              <w:tabs>
                <w:tab w:val="center" w:pos="1216"/>
              </w:tabs>
              <w:spacing w:after="200"/>
              <w:jc w:val="left"/>
              <w:rPr>
                <w:rFonts w:ascii="Times New Roman" w:hAnsi="Times New Roman"/>
                <w:szCs w:val="22"/>
                <w:lang w:val="en-GB"/>
              </w:rPr>
            </w:pPr>
            <w:r w:rsidRPr="00174C5D">
              <w:rPr>
                <w:rFonts w:ascii="Times New Roman" w:hAnsi="Times New Roman"/>
                <w:szCs w:val="22"/>
              </w:rPr>
              <w:t>Coût indicatif : 40 000</w:t>
            </w:r>
            <w:r w:rsidRPr="00174C5D">
              <w:rPr>
                <w:rFonts w:ascii="Times New Roman" w:hAnsi="Times New Roman"/>
                <w:szCs w:val="22"/>
              </w:rPr>
              <w:tab/>
            </w:r>
          </w:p>
        </w:tc>
        <w:tc>
          <w:tcPr>
            <w:tcW w:w="973" w:type="pct"/>
          </w:tcPr>
          <w:p w:rsidR="00205323" w:rsidRPr="00865A23" w:rsidRDefault="00205323" w:rsidP="00FE65B7">
            <w:pPr>
              <w:spacing w:after="200"/>
              <w:jc w:val="left"/>
              <w:rPr>
                <w:rFonts w:ascii="Times New Roman" w:hAnsi="Times New Roman"/>
                <w:szCs w:val="22"/>
              </w:rPr>
            </w:pPr>
            <w:r w:rsidRPr="00174C5D">
              <w:rPr>
                <w:rFonts w:ascii="Times New Roman" w:hAnsi="Times New Roman"/>
                <w:szCs w:val="22"/>
              </w:rPr>
              <w:t>Au minimum trois mois avant la fin de l'exécution du projet.</w:t>
            </w:r>
          </w:p>
        </w:tc>
      </w:tr>
      <w:tr w:rsidR="00205323" w:rsidRPr="00174C5D" w:rsidTr="00205323">
        <w:trPr>
          <w:jc w:val="center"/>
        </w:trPr>
        <w:tc>
          <w:tcPr>
            <w:tcW w:w="1271" w:type="pct"/>
          </w:tcPr>
          <w:p w:rsidR="00205323" w:rsidRPr="00174C5D" w:rsidRDefault="00205323" w:rsidP="00FE65B7">
            <w:pPr>
              <w:jc w:val="left"/>
              <w:rPr>
                <w:rFonts w:ascii="Times New Roman" w:hAnsi="Times New Roman"/>
                <w:szCs w:val="22"/>
                <w:lang w:val="en-GB"/>
              </w:rPr>
            </w:pPr>
            <w:r w:rsidRPr="00174C5D">
              <w:rPr>
                <w:rFonts w:ascii="Times New Roman" w:hAnsi="Times New Roman"/>
                <w:szCs w:val="22"/>
              </w:rPr>
              <w:t xml:space="preserve">Rapport final de projet </w:t>
            </w:r>
          </w:p>
        </w:tc>
        <w:tc>
          <w:tcPr>
            <w:tcW w:w="1654" w:type="pct"/>
            <w:vAlign w:val="center"/>
          </w:tcPr>
          <w:p w:rsidR="00205323" w:rsidRPr="00865A23" w:rsidRDefault="00205323" w:rsidP="000C4537">
            <w:pPr>
              <w:numPr>
                <w:ilvl w:val="0"/>
                <w:numId w:val="36"/>
              </w:numPr>
              <w:tabs>
                <w:tab w:val="left" w:pos="360"/>
              </w:tabs>
              <w:spacing w:after="0"/>
              <w:jc w:val="left"/>
              <w:rPr>
                <w:rFonts w:ascii="Times New Roman" w:hAnsi="Times New Roman"/>
                <w:szCs w:val="22"/>
              </w:rPr>
            </w:pPr>
            <w:r w:rsidRPr="00174C5D">
              <w:rPr>
                <w:rFonts w:ascii="Times New Roman" w:hAnsi="Times New Roman"/>
                <w:szCs w:val="22"/>
              </w:rPr>
              <w:t xml:space="preserve">Chef de projet et équipe. </w:t>
            </w:r>
          </w:p>
          <w:p w:rsidR="00205323" w:rsidRPr="00174C5D" w:rsidRDefault="00205323" w:rsidP="000C4537">
            <w:pPr>
              <w:numPr>
                <w:ilvl w:val="0"/>
                <w:numId w:val="36"/>
              </w:numPr>
              <w:tabs>
                <w:tab w:val="left" w:pos="360"/>
              </w:tabs>
              <w:spacing w:after="100" w:afterAutospacing="1"/>
              <w:jc w:val="left"/>
              <w:rPr>
                <w:rFonts w:ascii="Times New Roman" w:hAnsi="Times New Roman"/>
                <w:szCs w:val="22"/>
                <w:lang w:val="en-GB"/>
              </w:rPr>
            </w:pPr>
            <w:r w:rsidRPr="00174C5D">
              <w:rPr>
                <w:rFonts w:ascii="Times New Roman" w:hAnsi="Times New Roman"/>
                <w:szCs w:val="22"/>
              </w:rPr>
              <w:t>Bureau Pays de la PNUD</w:t>
            </w:r>
          </w:p>
          <w:p w:rsidR="00205323" w:rsidRPr="00174C5D" w:rsidRDefault="00205323" w:rsidP="000C4537">
            <w:pPr>
              <w:numPr>
                <w:ilvl w:val="0"/>
                <w:numId w:val="36"/>
              </w:numPr>
              <w:tabs>
                <w:tab w:val="left" w:pos="360"/>
              </w:tabs>
              <w:spacing w:after="0"/>
              <w:jc w:val="left"/>
              <w:rPr>
                <w:rFonts w:ascii="Times New Roman" w:hAnsi="Times New Roman"/>
                <w:szCs w:val="22"/>
                <w:lang w:val="en-GB"/>
              </w:rPr>
            </w:pPr>
            <w:r w:rsidRPr="00174C5D">
              <w:rPr>
                <w:rFonts w:ascii="Times New Roman" w:hAnsi="Times New Roman"/>
                <w:szCs w:val="22"/>
              </w:rPr>
              <w:t>Consultant local</w:t>
            </w:r>
          </w:p>
        </w:tc>
        <w:tc>
          <w:tcPr>
            <w:tcW w:w="1102" w:type="pct"/>
            <w:vAlign w:val="center"/>
          </w:tcPr>
          <w:p w:rsidR="00205323" w:rsidRPr="00174C5D" w:rsidRDefault="00205323" w:rsidP="00FE65B7">
            <w:pPr>
              <w:jc w:val="left"/>
              <w:rPr>
                <w:rFonts w:ascii="Times New Roman" w:hAnsi="Times New Roman"/>
                <w:szCs w:val="22"/>
                <w:lang w:val="en-GB"/>
              </w:rPr>
            </w:pPr>
            <w:r w:rsidRPr="00174C5D">
              <w:rPr>
                <w:rFonts w:ascii="Times New Roman" w:hAnsi="Times New Roman"/>
                <w:szCs w:val="22"/>
                <w:lang w:val="en-GB"/>
              </w:rPr>
              <w:t>0</w:t>
            </w:r>
          </w:p>
        </w:tc>
        <w:tc>
          <w:tcPr>
            <w:tcW w:w="973" w:type="pct"/>
          </w:tcPr>
          <w:p w:rsidR="00205323" w:rsidRPr="00865A23" w:rsidRDefault="00205323" w:rsidP="00FE65B7">
            <w:pPr>
              <w:spacing w:after="100" w:afterAutospacing="1"/>
              <w:jc w:val="left"/>
              <w:rPr>
                <w:rFonts w:ascii="Times New Roman" w:hAnsi="Times New Roman"/>
                <w:szCs w:val="22"/>
              </w:rPr>
            </w:pPr>
            <w:r w:rsidRPr="00174C5D">
              <w:rPr>
                <w:rFonts w:ascii="Times New Roman" w:hAnsi="Times New Roman"/>
                <w:szCs w:val="22"/>
              </w:rPr>
              <w:t>Au minimum trois mois avant la fin du projet.</w:t>
            </w:r>
          </w:p>
        </w:tc>
      </w:tr>
      <w:tr w:rsidR="00205323" w:rsidRPr="00174C5D" w:rsidTr="00205323">
        <w:trPr>
          <w:jc w:val="center"/>
        </w:trPr>
        <w:tc>
          <w:tcPr>
            <w:tcW w:w="1271"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 xml:space="preserve">Audit </w:t>
            </w:r>
          </w:p>
        </w:tc>
        <w:tc>
          <w:tcPr>
            <w:tcW w:w="1654" w:type="pct"/>
            <w:vAlign w:val="center"/>
          </w:tcPr>
          <w:p w:rsidR="00205323" w:rsidRPr="00174C5D" w:rsidRDefault="00205323" w:rsidP="000C4537">
            <w:pPr>
              <w:numPr>
                <w:ilvl w:val="0"/>
                <w:numId w:val="34"/>
              </w:numPr>
              <w:tabs>
                <w:tab w:val="left" w:pos="360"/>
              </w:tabs>
              <w:spacing w:after="0"/>
              <w:jc w:val="left"/>
              <w:rPr>
                <w:rFonts w:ascii="Times New Roman" w:hAnsi="Times New Roman"/>
                <w:szCs w:val="22"/>
                <w:lang w:val="en-GB"/>
              </w:rPr>
            </w:pPr>
            <w:r w:rsidRPr="00174C5D">
              <w:rPr>
                <w:rFonts w:ascii="Times New Roman" w:hAnsi="Times New Roman"/>
                <w:szCs w:val="22"/>
              </w:rPr>
              <w:t>Bureau Pays de la PNUD</w:t>
            </w:r>
          </w:p>
          <w:p w:rsidR="00205323" w:rsidRPr="00865A23" w:rsidRDefault="00205323" w:rsidP="000C4537">
            <w:pPr>
              <w:numPr>
                <w:ilvl w:val="0"/>
                <w:numId w:val="34"/>
              </w:numPr>
              <w:tabs>
                <w:tab w:val="left" w:pos="360"/>
              </w:tabs>
              <w:spacing w:after="0"/>
              <w:jc w:val="left"/>
              <w:rPr>
                <w:rFonts w:ascii="Times New Roman" w:hAnsi="Times New Roman"/>
                <w:szCs w:val="22"/>
              </w:rPr>
            </w:pPr>
            <w:r w:rsidRPr="00174C5D">
              <w:rPr>
                <w:rFonts w:ascii="Times New Roman" w:hAnsi="Times New Roman"/>
                <w:szCs w:val="22"/>
              </w:rPr>
              <w:t>Chef de projet et équipe</w:t>
            </w:r>
            <w:r w:rsidR="00C77FA3">
              <w:rPr>
                <w:rFonts w:ascii="Times New Roman" w:hAnsi="Times New Roman"/>
                <w:szCs w:val="22"/>
              </w:rPr>
              <w:t xml:space="preserve"> </w:t>
            </w:r>
          </w:p>
        </w:tc>
        <w:tc>
          <w:tcPr>
            <w:tcW w:w="1102" w:type="pct"/>
            <w:vAlign w:val="center"/>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Coût indicatif annuel : 3 000 (Total : 15 000)</w:t>
            </w:r>
          </w:p>
        </w:tc>
        <w:tc>
          <w:tcPr>
            <w:tcW w:w="973" w:type="pct"/>
          </w:tcPr>
          <w:p w:rsidR="00205323" w:rsidRPr="00174C5D" w:rsidRDefault="00205323" w:rsidP="00FE65B7">
            <w:pPr>
              <w:spacing w:after="200"/>
              <w:jc w:val="left"/>
              <w:rPr>
                <w:rFonts w:ascii="Times New Roman" w:hAnsi="Times New Roman"/>
                <w:szCs w:val="22"/>
                <w:lang w:val="en-GB"/>
              </w:rPr>
            </w:pPr>
            <w:r w:rsidRPr="00174C5D">
              <w:rPr>
                <w:rFonts w:ascii="Times New Roman" w:hAnsi="Times New Roman"/>
                <w:szCs w:val="22"/>
              </w:rPr>
              <w:t>Annuellement</w:t>
            </w:r>
          </w:p>
        </w:tc>
      </w:tr>
      <w:tr w:rsidR="00205323" w:rsidRPr="00174C5D" w:rsidTr="00205323">
        <w:trPr>
          <w:jc w:val="center"/>
        </w:trPr>
        <w:tc>
          <w:tcPr>
            <w:tcW w:w="1271" w:type="pct"/>
          </w:tcPr>
          <w:p w:rsidR="00205323" w:rsidRPr="00174C5D" w:rsidRDefault="00205323" w:rsidP="00205323">
            <w:pPr>
              <w:spacing w:after="200"/>
              <w:rPr>
                <w:rFonts w:ascii="Times New Roman" w:hAnsi="Times New Roman"/>
                <w:szCs w:val="22"/>
                <w:lang w:val="en-GB"/>
              </w:rPr>
            </w:pPr>
            <w:r w:rsidRPr="00174C5D">
              <w:rPr>
                <w:rFonts w:ascii="Times New Roman" w:hAnsi="Times New Roman"/>
                <w:szCs w:val="22"/>
              </w:rPr>
              <w:lastRenderedPageBreak/>
              <w:t xml:space="preserve">Visites sur les sites </w:t>
            </w:r>
          </w:p>
        </w:tc>
        <w:tc>
          <w:tcPr>
            <w:tcW w:w="1654" w:type="pct"/>
            <w:vAlign w:val="center"/>
          </w:tcPr>
          <w:p w:rsidR="00205323" w:rsidRPr="00174C5D" w:rsidRDefault="00205323" w:rsidP="000C4537">
            <w:pPr>
              <w:numPr>
                <w:ilvl w:val="0"/>
                <w:numId w:val="35"/>
              </w:numPr>
              <w:tabs>
                <w:tab w:val="left" w:pos="360"/>
              </w:tabs>
              <w:spacing w:after="0"/>
              <w:jc w:val="left"/>
              <w:rPr>
                <w:rFonts w:ascii="Times New Roman" w:hAnsi="Times New Roman"/>
                <w:szCs w:val="22"/>
                <w:lang w:val="en-GB"/>
              </w:rPr>
            </w:pPr>
            <w:r w:rsidRPr="00174C5D">
              <w:rPr>
                <w:rFonts w:ascii="Times New Roman" w:hAnsi="Times New Roman"/>
                <w:szCs w:val="22"/>
              </w:rPr>
              <w:t xml:space="preserve">Bureau Pays de la PNUD </w:t>
            </w:r>
          </w:p>
          <w:p w:rsidR="00205323" w:rsidRPr="004F2CBA" w:rsidRDefault="00205323" w:rsidP="000C4537">
            <w:pPr>
              <w:numPr>
                <w:ilvl w:val="0"/>
                <w:numId w:val="35"/>
              </w:numPr>
              <w:tabs>
                <w:tab w:val="left" w:pos="360"/>
              </w:tabs>
              <w:spacing w:after="0"/>
              <w:jc w:val="left"/>
              <w:rPr>
                <w:rFonts w:ascii="Times New Roman" w:hAnsi="Times New Roman"/>
                <w:szCs w:val="22"/>
                <w:lang w:val="es-ES_tradnl"/>
              </w:rPr>
            </w:pPr>
            <w:r w:rsidRPr="00174C5D">
              <w:rPr>
                <w:rFonts w:ascii="Times New Roman" w:hAnsi="Times New Roman"/>
                <w:szCs w:val="22"/>
              </w:rPr>
              <w:t>RCU du PNUD (si besoin est)</w:t>
            </w:r>
          </w:p>
          <w:p w:rsidR="00205323" w:rsidRPr="00174C5D" w:rsidRDefault="00205323" w:rsidP="000C4537">
            <w:pPr>
              <w:numPr>
                <w:ilvl w:val="0"/>
                <w:numId w:val="35"/>
              </w:numPr>
              <w:tabs>
                <w:tab w:val="left" w:pos="360"/>
              </w:tabs>
              <w:spacing w:after="200"/>
              <w:jc w:val="left"/>
              <w:rPr>
                <w:rFonts w:ascii="Times New Roman" w:hAnsi="Times New Roman"/>
                <w:szCs w:val="22"/>
                <w:lang w:val="en-GB"/>
              </w:rPr>
            </w:pPr>
            <w:r w:rsidRPr="00174C5D">
              <w:rPr>
                <w:rFonts w:ascii="Times New Roman" w:hAnsi="Times New Roman"/>
                <w:szCs w:val="22"/>
              </w:rPr>
              <w:t>Représentants gouvernementaux</w:t>
            </w:r>
          </w:p>
        </w:tc>
        <w:tc>
          <w:tcPr>
            <w:tcW w:w="1102" w:type="pct"/>
            <w:vAlign w:val="center"/>
          </w:tcPr>
          <w:p w:rsidR="00205323" w:rsidRPr="00865A23" w:rsidRDefault="00205323" w:rsidP="00FE65B7">
            <w:pPr>
              <w:jc w:val="left"/>
              <w:rPr>
                <w:rFonts w:ascii="Times New Roman" w:hAnsi="Times New Roman"/>
                <w:szCs w:val="22"/>
              </w:rPr>
            </w:pPr>
            <w:r w:rsidRPr="00174C5D">
              <w:rPr>
                <w:rFonts w:ascii="Times New Roman" w:hAnsi="Times New Roman"/>
                <w:szCs w:val="22"/>
              </w:rPr>
              <w:t>Pour les projets soutenus par le FEM, règlement à partir des honoraires IA (Audit Interne) et du budget opérationnel.</w:t>
            </w:r>
          </w:p>
        </w:tc>
        <w:tc>
          <w:tcPr>
            <w:tcW w:w="973" w:type="pct"/>
          </w:tcPr>
          <w:p w:rsidR="00205323" w:rsidRPr="00174C5D" w:rsidRDefault="00205323" w:rsidP="00205323">
            <w:pPr>
              <w:spacing w:after="200"/>
              <w:rPr>
                <w:rFonts w:ascii="Times New Roman" w:hAnsi="Times New Roman"/>
                <w:szCs w:val="22"/>
                <w:lang w:val="en-GB"/>
              </w:rPr>
            </w:pPr>
            <w:r w:rsidRPr="00174C5D">
              <w:rPr>
                <w:rFonts w:ascii="Times New Roman" w:hAnsi="Times New Roman"/>
                <w:szCs w:val="22"/>
              </w:rPr>
              <w:t>Annuellement</w:t>
            </w:r>
          </w:p>
        </w:tc>
      </w:tr>
      <w:tr w:rsidR="00205323" w:rsidRPr="00174C5D" w:rsidTr="00205323">
        <w:trPr>
          <w:cantSplit/>
          <w:trHeight w:val="944"/>
          <w:jc w:val="center"/>
        </w:trPr>
        <w:tc>
          <w:tcPr>
            <w:tcW w:w="2924" w:type="pct"/>
            <w:gridSpan w:val="2"/>
            <w:shd w:val="clear" w:color="auto" w:fill="E6E6E6"/>
          </w:tcPr>
          <w:p w:rsidR="00205323" w:rsidRPr="004F2CBA" w:rsidRDefault="00205323" w:rsidP="00205323">
            <w:pPr>
              <w:spacing w:after="200"/>
              <w:rPr>
                <w:rFonts w:ascii="Times New Roman" w:hAnsi="Times New Roman"/>
                <w:b/>
                <w:szCs w:val="22"/>
                <w:lang w:val="es-ES_tradnl"/>
              </w:rPr>
            </w:pPr>
            <w:r w:rsidRPr="00174C5D">
              <w:rPr>
                <w:rFonts w:ascii="Times New Roman" w:hAnsi="Times New Roman"/>
                <w:b/>
                <w:bCs/>
                <w:szCs w:val="22"/>
              </w:rPr>
              <w:t xml:space="preserve">TOTAL du coût indicatif </w:t>
            </w:r>
          </w:p>
          <w:p w:rsidR="00205323" w:rsidRPr="004F2CBA" w:rsidRDefault="00205323" w:rsidP="00205323">
            <w:pPr>
              <w:rPr>
                <w:rFonts w:ascii="Times New Roman" w:hAnsi="Times New Roman"/>
                <w:szCs w:val="22"/>
                <w:lang w:val="es-ES_tradnl"/>
              </w:rPr>
            </w:pPr>
            <w:r w:rsidRPr="00174C5D">
              <w:rPr>
                <w:rFonts w:ascii="Times New Roman" w:hAnsi="Times New Roman"/>
                <w:szCs w:val="22"/>
              </w:rPr>
              <w:t xml:space="preserve">Excluant le temps de travail de l'équipe de projet et les frais de déplacement et du personnel du PNUD. </w:t>
            </w:r>
          </w:p>
        </w:tc>
        <w:tc>
          <w:tcPr>
            <w:tcW w:w="1102" w:type="pct"/>
            <w:shd w:val="clear" w:color="auto" w:fill="E6E6E6"/>
            <w:vAlign w:val="center"/>
          </w:tcPr>
          <w:p w:rsidR="00205323" w:rsidRPr="00174C5D" w:rsidRDefault="00205323" w:rsidP="00205323">
            <w:pPr>
              <w:spacing w:after="200"/>
              <w:rPr>
                <w:rFonts w:ascii="Times New Roman" w:hAnsi="Times New Roman"/>
                <w:szCs w:val="22"/>
                <w:lang w:val="en-GB"/>
              </w:rPr>
            </w:pPr>
            <w:r w:rsidRPr="00174C5D">
              <w:rPr>
                <w:rFonts w:ascii="Times New Roman" w:hAnsi="Times New Roman"/>
                <w:szCs w:val="22"/>
              </w:rPr>
              <w:t xml:space="preserve"> 102 000 US$</w:t>
            </w:r>
          </w:p>
          <w:p w:rsidR="00205323" w:rsidRPr="00174C5D" w:rsidRDefault="00205323" w:rsidP="00205323">
            <w:pPr>
              <w:spacing w:after="200"/>
              <w:rPr>
                <w:rFonts w:ascii="Times New Roman" w:hAnsi="Times New Roman"/>
                <w:szCs w:val="22"/>
                <w:lang w:val="en-GB"/>
              </w:rPr>
            </w:pPr>
            <w:r w:rsidRPr="00174C5D">
              <w:rPr>
                <w:rFonts w:ascii="Times New Roman" w:hAnsi="Times New Roman"/>
                <w:szCs w:val="22"/>
                <w:lang w:val="en-GB"/>
              </w:rPr>
              <w:t xml:space="preserve"> </w:t>
            </w:r>
          </w:p>
        </w:tc>
        <w:tc>
          <w:tcPr>
            <w:tcW w:w="973" w:type="pct"/>
            <w:shd w:val="clear" w:color="auto" w:fill="E6E6E6"/>
          </w:tcPr>
          <w:p w:rsidR="00205323" w:rsidRPr="00174C5D" w:rsidRDefault="00205323" w:rsidP="00205323">
            <w:pPr>
              <w:spacing w:after="200"/>
              <w:rPr>
                <w:rFonts w:ascii="Times New Roman" w:hAnsi="Times New Roman"/>
                <w:szCs w:val="22"/>
                <w:lang w:val="en-GB"/>
              </w:rPr>
            </w:pPr>
          </w:p>
        </w:tc>
      </w:tr>
    </w:tbl>
    <w:p w:rsidR="00205323" w:rsidRPr="001F1343" w:rsidRDefault="00205323" w:rsidP="00205323">
      <w:pPr>
        <w:keepNext/>
        <w:suppressAutoHyphens/>
        <w:spacing w:before="104" w:after="226"/>
        <w:ind w:left="270"/>
        <w:outlineLvl w:val="0"/>
        <w:rPr>
          <w:rFonts w:ascii="Times New Roman Bold" w:hAnsi="Times New Roman Bold"/>
          <w:b/>
          <w:smallCaps/>
          <w:spacing w:val="-2"/>
          <w:szCs w:val="22"/>
          <w:lang w:val="en-GB"/>
        </w:rPr>
      </w:pPr>
    </w:p>
    <w:p w:rsidR="006474D5" w:rsidRPr="001F1343" w:rsidRDefault="006474D5" w:rsidP="006474D5">
      <w:pPr>
        <w:rPr>
          <w:lang w:val="en-GB"/>
        </w:rPr>
      </w:pPr>
      <w:bookmarkStart w:id="83" w:name="_Toc207800916"/>
      <w:bookmarkStart w:id="84" w:name="_Toc285354097"/>
      <w:bookmarkStart w:id="85" w:name="_Toc340830986"/>
      <w:bookmarkEnd w:id="73"/>
    </w:p>
    <w:p w:rsidR="006474D5" w:rsidRPr="0001740A" w:rsidRDefault="006474D5" w:rsidP="0001740A">
      <w:pPr>
        <w:pStyle w:val="Titre1"/>
        <w:numPr>
          <w:ilvl w:val="0"/>
          <w:numId w:val="37"/>
        </w:numPr>
        <w:rPr>
          <w:sz w:val="28"/>
          <w:szCs w:val="28"/>
          <w:lang w:val="en-GB" w:eastAsia="en-US"/>
        </w:rPr>
      </w:pPr>
      <w:bookmarkStart w:id="86" w:name="_Toc262924499"/>
      <w:bookmarkStart w:id="87" w:name="_Toc418144256"/>
      <w:bookmarkStart w:id="88" w:name="_Toc298586305"/>
      <w:r w:rsidRPr="0001740A">
        <w:rPr>
          <w:sz w:val="28"/>
          <w:szCs w:val="28"/>
          <w:lang w:val="en-GB" w:eastAsia="en-US"/>
        </w:rPr>
        <w:t>Contexte légal</w:t>
      </w:r>
      <w:bookmarkEnd w:id="83"/>
      <w:bookmarkEnd w:id="84"/>
      <w:bookmarkEnd w:id="85"/>
      <w:bookmarkEnd w:id="86"/>
      <w:bookmarkEnd w:id="87"/>
      <w:bookmarkEnd w:id="88"/>
    </w:p>
    <w:p w:rsidR="006474D5" w:rsidRPr="004F2CBA" w:rsidRDefault="006474D5" w:rsidP="006474D5">
      <w:pPr>
        <w:spacing w:after="180"/>
        <w:ind w:left="-360" w:right="-450"/>
        <w:rPr>
          <w:rFonts w:ascii="Times New Roman" w:hAnsi="Times New Roman"/>
          <w:iCs/>
          <w:szCs w:val="22"/>
          <w:lang w:val="es-ES_tradnl"/>
        </w:rPr>
      </w:pPr>
      <w:r w:rsidRPr="006474D5">
        <w:rPr>
          <w:rFonts w:ascii="Times New Roman" w:hAnsi="Times New Roman"/>
          <w:szCs w:val="22"/>
        </w:rPr>
        <w:t xml:space="preserve">Le présent document ainsi que le CPAP (Plan d’action du programme de pays) signé par le Gouvernement et le PNUD, et qui y est incorporé à titre de référence </w:t>
      </w:r>
      <w:r w:rsidRPr="006474D5">
        <w:rPr>
          <w:rFonts w:ascii="Times New Roman" w:hAnsi="Times New Roman"/>
          <w:szCs w:val="22"/>
          <w:shd w:val="clear" w:color="auto" w:fill="FFFFFF"/>
        </w:rPr>
        <w:t xml:space="preserve">constituent ensemble le Document de projet tel que visé dans le SBAA (Accord de base type en matière d'assistance) </w:t>
      </w:r>
      <w:r w:rsidRPr="006474D5">
        <w:rPr>
          <w:rFonts w:ascii="Times New Roman" w:hAnsi="Times New Roman"/>
          <w:szCs w:val="22"/>
        </w:rPr>
        <w:t>et toutes les dispositions du CPAP s</w:t>
      </w:r>
      <w:r>
        <w:rPr>
          <w:rFonts w:ascii="Times New Roman" w:hAnsi="Times New Roman"/>
          <w:szCs w:val="22"/>
        </w:rPr>
        <w:t>ont applicables à ce document.</w:t>
      </w:r>
    </w:p>
    <w:p w:rsidR="006474D5" w:rsidRPr="004F2CBA" w:rsidRDefault="006474D5" w:rsidP="006474D5">
      <w:pPr>
        <w:spacing w:after="180"/>
        <w:ind w:left="-360" w:right="-450"/>
        <w:rPr>
          <w:rFonts w:ascii="Times New Roman" w:hAnsi="Times New Roman"/>
          <w:szCs w:val="22"/>
          <w:lang w:val="es-ES_tradnl"/>
        </w:rPr>
      </w:pPr>
      <w:r w:rsidRPr="006474D5">
        <w:rPr>
          <w:rFonts w:ascii="Times New Roman" w:hAnsi="Times New Roman"/>
          <w:szCs w:val="22"/>
        </w:rPr>
        <w:t xml:space="preserve">Conformément à l'Article III de l'Accord de base type en matière d'assistance, la responsabilité de la sécurité et de la protection du partenaire d'exécution, de son personnel et de ses biens, ainsi que des biens du PNUD sous la garde du partenaire d'exécution, incombe au partenaire d'exécution. </w:t>
      </w:r>
    </w:p>
    <w:p w:rsidR="006474D5" w:rsidRPr="006474D5" w:rsidRDefault="006474D5" w:rsidP="006474D5">
      <w:pPr>
        <w:tabs>
          <w:tab w:val="left" w:pos="10080"/>
        </w:tabs>
        <w:spacing w:after="180"/>
        <w:ind w:right="720"/>
        <w:rPr>
          <w:rFonts w:ascii="Times New Roman" w:hAnsi="Times New Roman"/>
          <w:szCs w:val="22"/>
          <w:lang w:val="en-GB"/>
        </w:rPr>
      </w:pPr>
      <w:r w:rsidRPr="006474D5">
        <w:rPr>
          <w:rFonts w:ascii="Times New Roman" w:hAnsi="Times New Roman"/>
          <w:szCs w:val="22"/>
        </w:rPr>
        <w:t>Le partenaire d'exécution doit :</w:t>
      </w:r>
    </w:p>
    <w:p w:rsidR="006474D5" w:rsidRPr="004F2CBA" w:rsidRDefault="006474D5" w:rsidP="006474D5">
      <w:pPr>
        <w:numPr>
          <w:ilvl w:val="0"/>
          <w:numId w:val="39"/>
        </w:numPr>
        <w:tabs>
          <w:tab w:val="left" w:pos="360"/>
        </w:tabs>
        <w:spacing w:after="180"/>
        <w:ind w:right="-450"/>
        <w:rPr>
          <w:rFonts w:ascii="Times New Roman" w:hAnsi="Times New Roman"/>
          <w:szCs w:val="22"/>
          <w:lang w:val="es-ES_tradnl"/>
        </w:rPr>
      </w:pPr>
      <w:r w:rsidRPr="006474D5">
        <w:rPr>
          <w:rFonts w:ascii="Times New Roman" w:hAnsi="Times New Roman"/>
          <w:szCs w:val="22"/>
        </w:rPr>
        <w:t>mettre en place un plan de sécurité adéquat et veiller à son maintien, en prenant en compte la situation en matière de sécurité du pays où intervient l'exécution du projet ;</w:t>
      </w:r>
    </w:p>
    <w:p w:rsidR="006474D5" w:rsidRPr="004F2CBA" w:rsidRDefault="006474D5" w:rsidP="006474D5">
      <w:pPr>
        <w:numPr>
          <w:ilvl w:val="0"/>
          <w:numId w:val="39"/>
        </w:numPr>
        <w:tabs>
          <w:tab w:val="left" w:pos="360"/>
        </w:tabs>
        <w:spacing w:after="180"/>
        <w:ind w:right="-450"/>
        <w:rPr>
          <w:rFonts w:ascii="Times New Roman" w:hAnsi="Times New Roman"/>
          <w:szCs w:val="22"/>
          <w:lang w:val="es-ES_tradnl"/>
        </w:rPr>
      </w:pPr>
      <w:r w:rsidRPr="006474D5">
        <w:rPr>
          <w:rFonts w:ascii="Times New Roman" w:hAnsi="Times New Roman"/>
          <w:szCs w:val="22"/>
        </w:rPr>
        <w:t>assumer l'ensemble des risques et obligations afférentes à la sécurité du partenaire d'exécution ainsi qu'à la pleine mise en œuvre du plan de sécurité.</w:t>
      </w:r>
    </w:p>
    <w:p w:rsidR="006474D5" w:rsidRPr="004F2CBA" w:rsidRDefault="006474D5" w:rsidP="006474D5">
      <w:pPr>
        <w:spacing w:after="180"/>
        <w:ind w:left="-360" w:right="-450"/>
        <w:rPr>
          <w:rFonts w:ascii="Times New Roman" w:hAnsi="Times New Roman"/>
          <w:szCs w:val="22"/>
          <w:lang w:val="es-ES_tradnl"/>
        </w:rPr>
      </w:pPr>
      <w:r w:rsidRPr="006474D5">
        <w:rPr>
          <w:rFonts w:ascii="Times New Roman" w:hAnsi="Times New Roman"/>
          <w:szCs w:val="22"/>
        </w:rPr>
        <w:t>Le PNUD se réserve le droit de vérifier si un tel plan est en place, et d'en suggérer des modifications si nécessaire. Un manquement au maintien et à la mise en œuvre d'un plan de sécurité adéquat tel qu'exigé en vertu des présentes est présumé constituer une violation du présent accord.</w:t>
      </w:r>
    </w:p>
    <w:p w:rsidR="006474D5" w:rsidRPr="004F2CBA" w:rsidRDefault="006474D5" w:rsidP="006474D5">
      <w:pPr>
        <w:spacing w:after="180"/>
        <w:ind w:left="-360" w:right="-450"/>
        <w:rPr>
          <w:rFonts w:ascii="Times New Roman" w:hAnsi="Times New Roman"/>
          <w:szCs w:val="22"/>
        </w:rPr>
      </w:pPr>
      <w:r w:rsidRPr="006474D5">
        <w:rPr>
          <w:rFonts w:ascii="Times New Roman" w:hAnsi="Times New Roman"/>
          <w:szCs w:val="22"/>
        </w:rPr>
        <w:t>Le partenaire d'exécution convient d'engager l'ensemble des efforts raisonnables afin de veiller à ce qu'aucun des financements du PNUD reçus conformément au Document de projet ne soit utilisé pour prêter assistance à des</w:t>
      </w:r>
      <w:r w:rsidR="00C77FA3">
        <w:rPr>
          <w:rFonts w:ascii="Times New Roman" w:hAnsi="Times New Roman"/>
          <w:szCs w:val="22"/>
        </w:rPr>
        <w:t xml:space="preserve"> </w:t>
      </w:r>
      <w:r w:rsidRPr="006474D5">
        <w:rPr>
          <w:rFonts w:ascii="Times New Roman" w:hAnsi="Times New Roman"/>
          <w:szCs w:val="22"/>
        </w:rPr>
        <w:t xml:space="preserve">personnes ou entités associées au terrorisme, et que les bénéficiaires de sommes quelconques remises par le PNUD aux termes des présentes ne figurent pas sur la liste gérée par le Comité du Conseil de sécurité établie conformément à la résolution 1267 (1999). La liste peut être consultée à l'adresse </w:t>
      </w:r>
      <w:hyperlink r:id="rId32" w:history="1">
        <w:r w:rsidRPr="006474D5">
          <w:rPr>
            <w:rFonts w:ascii="Times New Roman" w:hAnsi="Times New Roman"/>
            <w:color w:val="0000FF"/>
            <w:szCs w:val="22"/>
            <w:u w:val="single"/>
          </w:rPr>
          <w:t>http://www.un.org/Docs/sc/committees/1267/1267ListEng.htm</w:t>
        </w:r>
      </w:hyperlink>
      <w:r w:rsidRPr="006474D5">
        <w:rPr>
          <w:rFonts w:ascii="Times New Roman" w:hAnsi="Times New Roman"/>
          <w:color w:val="000080"/>
          <w:szCs w:val="22"/>
        </w:rPr>
        <w:t xml:space="preserve">. </w:t>
      </w:r>
      <w:r w:rsidRPr="006474D5">
        <w:rPr>
          <w:rFonts w:ascii="Times New Roman" w:hAnsi="Times New Roman"/>
          <w:szCs w:val="22"/>
        </w:rPr>
        <w:t xml:space="preserve">Cette disposition doit être intégrée à l'ensemble des contrats de sous-traitance ou accords subsidiaires conclus en vertu du présent Document de projet. </w:t>
      </w:r>
    </w:p>
    <w:p w:rsidR="006474D5" w:rsidRPr="00865A23" w:rsidRDefault="006474D5" w:rsidP="006474D5">
      <w:pPr>
        <w:spacing w:after="180"/>
        <w:ind w:left="-360" w:right="-450"/>
        <w:rPr>
          <w:rFonts w:ascii="Times New Roman" w:hAnsi="Times New Roman"/>
          <w:szCs w:val="22"/>
        </w:rPr>
      </w:pPr>
      <w:r w:rsidRPr="006474D5">
        <w:rPr>
          <w:rFonts w:ascii="Times New Roman" w:hAnsi="Times New Roman"/>
          <w:szCs w:val="22"/>
          <w:u w:val="single"/>
        </w:rPr>
        <w:t xml:space="preserve">Clause d'audit </w:t>
      </w:r>
      <w:r w:rsidRPr="006474D5">
        <w:rPr>
          <w:rFonts w:ascii="Times New Roman" w:hAnsi="Times New Roman"/>
          <w:szCs w:val="22"/>
        </w:rPr>
        <w:t>: L'audit du projet sera conduit en accord avec les politiques d'audit en vigueur du PNUD.</w:t>
      </w:r>
    </w:p>
    <w:p w:rsidR="006474D5" w:rsidRPr="00865A23" w:rsidRDefault="006474D5" w:rsidP="006474D5">
      <w:pPr>
        <w:keepNext/>
        <w:tabs>
          <w:tab w:val="left" w:pos="284"/>
        </w:tabs>
        <w:suppressAutoHyphens/>
        <w:spacing w:before="104" w:after="226"/>
        <w:ind w:left="284" w:hanging="284"/>
        <w:outlineLvl w:val="0"/>
        <w:rPr>
          <w:rFonts w:ascii="Times New Roman" w:hAnsi="Times New Roman"/>
          <w:spacing w:val="-2"/>
          <w:szCs w:val="22"/>
        </w:rPr>
        <w:sectPr w:rsidR="006474D5" w:rsidRPr="00865A23">
          <w:headerReference w:type="default" r:id="rId33"/>
          <w:pgSz w:w="12240" w:h="15840" w:code="1"/>
          <w:pgMar w:top="1440" w:right="1440" w:bottom="1440" w:left="1411" w:header="720" w:footer="720" w:gutter="0"/>
          <w:cols w:space="720"/>
          <w:docGrid w:linePitch="360"/>
        </w:sectPr>
      </w:pPr>
    </w:p>
    <w:p w:rsidR="006474D5" w:rsidRPr="00865A23" w:rsidRDefault="006474D5" w:rsidP="0001740A">
      <w:pPr>
        <w:pStyle w:val="Titre1"/>
        <w:rPr>
          <w:sz w:val="28"/>
          <w:szCs w:val="28"/>
          <w:lang w:eastAsia="en-US"/>
        </w:rPr>
      </w:pPr>
      <w:bookmarkStart w:id="89" w:name="_Toc262924500"/>
      <w:bookmarkStart w:id="90" w:name="_Toc418144257"/>
      <w:bookmarkStart w:id="91" w:name="_Toc298586306"/>
      <w:r w:rsidRPr="00865A23">
        <w:rPr>
          <w:sz w:val="28"/>
          <w:szCs w:val="28"/>
          <w:lang w:eastAsia="en-US"/>
        </w:rPr>
        <w:lastRenderedPageBreak/>
        <w:t>7. ANNEXES</w:t>
      </w:r>
      <w:bookmarkEnd w:id="89"/>
      <w:bookmarkEnd w:id="90"/>
      <w:bookmarkEnd w:id="91"/>
    </w:p>
    <w:p w:rsidR="006474D5" w:rsidRPr="00865A23" w:rsidRDefault="006474D5" w:rsidP="006474D5">
      <w:pPr>
        <w:rPr>
          <w:rFonts w:ascii="Times New Roman" w:hAnsi="Times New Roman"/>
          <w:szCs w:val="22"/>
        </w:rPr>
      </w:pPr>
      <w:r w:rsidRPr="006474D5">
        <w:rPr>
          <w:rFonts w:ascii="Times New Roman" w:hAnsi="Times New Roman"/>
          <w:szCs w:val="22"/>
        </w:rPr>
        <w:t>Annexe 1 – Journal des risques hors ligne</w:t>
      </w:r>
    </w:p>
    <w:p w:rsidR="006474D5" w:rsidRPr="00865A23" w:rsidRDefault="006474D5" w:rsidP="006474D5">
      <w:pPr>
        <w:rPr>
          <w:rFonts w:ascii="Times New Roman" w:hAnsi="Times New Roman"/>
          <w:szCs w:val="22"/>
        </w:rPr>
      </w:pPr>
      <w:r w:rsidRPr="006474D5">
        <w:rPr>
          <w:rFonts w:ascii="Times New Roman" w:hAnsi="Times New Roman"/>
          <w:szCs w:val="22"/>
        </w:rPr>
        <w:t>Annexe 2 – Mission</w:t>
      </w:r>
    </w:p>
    <w:p w:rsidR="006474D5" w:rsidRPr="00865A23" w:rsidRDefault="006474D5" w:rsidP="006474D5">
      <w:pPr>
        <w:rPr>
          <w:rFonts w:ascii="Times New Roman" w:hAnsi="Times New Roman"/>
          <w:szCs w:val="22"/>
        </w:rPr>
      </w:pPr>
      <w:r w:rsidRPr="006474D5">
        <w:rPr>
          <w:rFonts w:ascii="Times New Roman" w:hAnsi="Times New Roman"/>
          <w:szCs w:val="22"/>
        </w:rPr>
        <w:t>Annexe 3 – Calcul des émissions de GES</w:t>
      </w:r>
    </w:p>
    <w:p w:rsidR="006474D5" w:rsidRPr="00865A23" w:rsidRDefault="006474D5" w:rsidP="006474D5">
      <w:pPr>
        <w:rPr>
          <w:rFonts w:ascii="Times New Roman" w:hAnsi="Times New Roman"/>
          <w:szCs w:val="22"/>
        </w:rPr>
      </w:pPr>
      <w:r w:rsidRPr="006474D5">
        <w:rPr>
          <w:rFonts w:ascii="Times New Roman" w:hAnsi="Times New Roman"/>
          <w:szCs w:val="22"/>
        </w:rPr>
        <w:t>Annexe 3 – Lettres de cofinancement (fournies dans un fichier distinct)</w:t>
      </w:r>
    </w:p>
    <w:p w:rsidR="006474D5" w:rsidRPr="004F2CBA" w:rsidRDefault="006474D5" w:rsidP="006474D5">
      <w:pPr>
        <w:rPr>
          <w:rFonts w:ascii="Times New Roman" w:hAnsi="Times New Roman"/>
          <w:szCs w:val="22"/>
          <w:lang w:val="es-ES_tradnl"/>
        </w:rPr>
      </w:pPr>
      <w:r w:rsidRPr="006474D5">
        <w:rPr>
          <w:rFonts w:ascii="Times New Roman" w:hAnsi="Times New Roman"/>
          <w:szCs w:val="22"/>
        </w:rPr>
        <w:t xml:space="preserve">Annexe 4 </w:t>
      </w:r>
      <w:r w:rsidR="0008584B">
        <w:rPr>
          <w:rFonts w:ascii="Times New Roman" w:hAnsi="Times New Roman"/>
          <w:szCs w:val="22"/>
        </w:rPr>
        <w:t>–</w:t>
      </w:r>
      <w:r w:rsidRPr="006474D5">
        <w:rPr>
          <w:rFonts w:ascii="Times New Roman" w:hAnsi="Times New Roman"/>
          <w:szCs w:val="22"/>
        </w:rPr>
        <w:t xml:space="preserve"> Examen préalable en matière sociale et environnementale </w:t>
      </w:r>
    </w:p>
    <w:p w:rsidR="006474D5" w:rsidRDefault="006474D5" w:rsidP="006474D5">
      <w:pPr>
        <w:rPr>
          <w:rFonts w:ascii="Times New Roman" w:hAnsi="Times New Roman"/>
          <w:szCs w:val="22"/>
        </w:rPr>
      </w:pPr>
      <w:r w:rsidRPr="006474D5">
        <w:rPr>
          <w:rFonts w:ascii="Times New Roman" w:hAnsi="Times New Roman"/>
          <w:szCs w:val="22"/>
        </w:rPr>
        <w:t>Annexe 5 – Outil de suivi (fourni dans un fichier distinct)</w:t>
      </w:r>
    </w:p>
    <w:p w:rsidR="006474D5" w:rsidRPr="00865A23" w:rsidRDefault="006474D5" w:rsidP="006474D5">
      <w:pPr>
        <w:rPr>
          <w:rFonts w:ascii="Times New Roman" w:hAnsi="Times New Roman"/>
          <w:szCs w:val="22"/>
        </w:rPr>
        <w:sectPr w:rsidR="006474D5" w:rsidRPr="00865A23">
          <w:pgSz w:w="12240" w:h="15840" w:code="1"/>
          <w:pgMar w:top="1440" w:right="1440" w:bottom="1440" w:left="1411" w:header="720" w:footer="720" w:gutter="0"/>
          <w:cols w:space="720"/>
          <w:docGrid w:linePitch="360"/>
        </w:sectPr>
      </w:pPr>
    </w:p>
    <w:p w:rsidR="006474D5" w:rsidRPr="00865A23" w:rsidRDefault="006474D5" w:rsidP="0001740A">
      <w:pPr>
        <w:pStyle w:val="Titre1"/>
        <w:rPr>
          <w:sz w:val="22"/>
          <w:szCs w:val="22"/>
          <w:lang w:eastAsia="en-US"/>
        </w:rPr>
      </w:pPr>
      <w:bookmarkStart w:id="92" w:name="_Toc262924501"/>
      <w:bookmarkStart w:id="93" w:name="_Toc418144258"/>
      <w:bookmarkStart w:id="94" w:name="_Toc298586307"/>
      <w:r w:rsidRPr="00865A23">
        <w:rPr>
          <w:sz w:val="22"/>
          <w:szCs w:val="22"/>
          <w:lang w:eastAsia="en-US"/>
        </w:rPr>
        <w:lastRenderedPageBreak/>
        <w:t>ANNEXE 1 : Journal des risques hors ligne</w:t>
      </w:r>
      <w:bookmarkEnd w:id="92"/>
      <w:bookmarkEnd w:id="93"/>
      <w:bookmarkEnd w:id="94"/>
      <w:r w:rsidRPr="00865A23">
        <w:rPr>
          <w:sz w:val="22"/>
          <w:szCs w:val="22"/>
          <w:lang w:eastAsia="en-US"/>
        </w:rPr>
        <w:t xml:space="preserve"> </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5" w:type="dxa"/>
        </w:tblCellMar>
        <w:tblLook w:val="0000" w:firstRow="0" w:lastRow="0" w:firstColumn="0" w:lastColumn="0" w:noHBand="0" w:noVBand="0"/>
      </w:tblPr>
      <w:tblGrid>
        <w:gridCol w:w="412"/>
        <w:gridCol w:w="1582"/>
        <w:gridCol w:w="1332"/>
        <w:gridCol w:w="1517"/>
        <w:gridCol w:w="1070"/>
        <w:gridCol w:w="3478"/>
        <w:gridCol w:w="982"/>
        <w:gridCol w:w="1081"/>
        <w:gridCol w:w="804"/>
        <w:gridCol w:w="796"/>
      </w:tblGrid>
      <w:tr w:rsidR="002E0DE0" w:rsidRPr="006474D5" w:rsidTr="002E0DE0">
        <w:trPr>
          <w:tblHeader/>
        </w:trPr>
        <w:tc>
          <w:tcPr>
            <w:tcW w:w="158"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szCs w:val="22"/>
                <w:lang w:val="en-GB"/>
              </w:rPr>
              <w:t>#</w:t>
            </w:r>
          </w:p>
        </w:tc>
        <w:tc>
          <w:tcPr>
            <w:tcW w:w="606"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 xml:space="preserve">Description </w:t>
            </w:r>
          </w:p>
        </w:tc>
        <w:tc>
          <w:tcPr>
            <w:tcW w:w="510"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Date d'identification</w:t>
            </w:r>
          </w:p>
        </w:tc>
        <w:tc>
          <w:tcPr>
            <w:tcW w:w="581"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Type</w:t>
            </w:r>
          </w:p>
        </w:tc>
        <w:tc>
          <w:tcPr>
            <w:tcW w:w="410"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Impact &amp;</w:t>
            </w:r>
          </w:p>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Probabilité</w:t>
            </w:r>
          </w:p>
        </w:tc>
        <w:tc>
          <w:tcPr>
            <w:tcW w:w="1332" w:type="pct"/>
            <w:shd w:val="clear" w:color="auto" w:fill="FFC000"/>
          </w:tcPr>
          <w:p w:rsidR="006474D5" w:rsidRPr="004F2CBA" w:rsidRDefault="006474D5" w:rsidP="002E0DE0">
            <w:pPr>
              <w:jc w:val="left"/>
              <w:rPr>
                <w:rFonts w:ascii="Times New Roman" w:hAnsi="Times New Roman"/>
                <w:b/>
                <w:szCs w:val="22"/>
                <w:lang w:val="es-ES_tradnl"/>
              </w:rPr>
            </w:pPr>
            <w:r w:rsidRPr="006474D5">
              <w:rPr>
                <w:rFonts w:ascii="Times New Roman" w:hAnsi="Times New Roman"/>
                <w:b/>
                <w:bCs/>
                <w:szCs w:val="22"/>
              </w:rPr>
              <w:t>Contre-mesures / Réponse de la direction</w:t>
            </w:r>
          </w:p>
        </w:tc>
        <w:tc>
          <w:tcPr>
            <w:tcW w:w="376"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Propriétaire</w:t>
            </w:r>
          </w:p>
        </w:tc>
        <w:tc>
          <w:tcPr>
            <w:tcW w:w="414" w:type="pct"/>
            <w:shd w:val="clear" w:color="auto" w:fill="FFC000"/>
          </w:tcPr>
          <w:p w:rsidR="006474D5" w:rsidRPr="004F2CBA" w:rsidRDefault="006474D5" w:rsidP="002E0DE0">
            <w:pPr>
              <w:jc w:val="left"/>
              <w:rPr>
                <w:rFonts w:ascii="Times New Roman" w:hAnsi="Times New Roman"/>
                <w:b/>
                <w:szCs w:val="22"/>
                <w:lang w:val="es-ES_tradnl"/>
              </w:rPr>
            </w:pPr>
            <w:r w:rsidRPr="006474D5">
              <w:rPr>
                <w:rFonts w:ascii="Times New Roman" w:hAnsi="Times New Roman"/>
                <w:b/>
                <w:bCs/>
                <w:szCs w:val="22"/>
              </w:rPr>
              <w:t>Soumis, mis à jour par</w:t>
            </w:r>
          </w:p>
        </w:tc>
        <w:tc>
          <w:tcPr>
            <w:tcW w:w="308"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Dernière mise à jour</w:t>
            </w:r>
          </w:p>
        </w:tc>
        <w:tc>
          <w:tcPr>
            <w:tcW w:w="305" w:type="pct"/>
            <w:shd w:val="clear" w:color="auto" w:fill="FFC000"/>
          </w:tcPr>
          <w:p w:rsidR="006474D5" w:rsidRPr="006474D5" w:rsidRDefault="006474D5" w:rsidP="002E0DE0">
            <w:pPr>
              <w:jc w:val="left"/>
              <w:rPr>
                <w:rFonts w:ascii="Times New Roman" w:hAnsi="Times New Roman"/>
                <w:b/>
                <w:szCs w:val="22"/>
                <w:lang w:val="en-GB"/>
              </w:rPr>
            </w:pPr>
            <w:r w:rsidRPr="006474D5">
              <w:rPr>
                <w:rFonts w:ascii="Times New Roman" w:hAnsi="Times New Roman"/>
                <w:b/>
                <w:bCs/>
                <w:szCs w:val="22"/>
              </w:rPr>
              <w:t>Statut</w:t>
            </w:r>
          </w:p>
        </w:tc>
      </w:tr>
      <w:tr w:rsidR="002E0DE0" w:rsidRPr="006474D5" w:rsidTr="002E0DE0">
        <w:tc>
          <w:tcPr>
            <w:tcW w:w="158" w:type="pct"/>
          </w:tcPr>
          <w:p w:rsidR="006474D5" w:rsidRPr="006474D5" w:rsidRDefault="006474D5" w:rsidP="002E0DE0">
            <w:pPr>
              <w:numPr>
                <w:ilvl w:val="0"/>
                <w:numId w:val="38"/>
              </w:numPr>
              <w:tabs>
                <w:tab w:val="left" w:pos="720"/>
              </w:tabs>
              <w:spacing w:after="0"/>
              <w:jc w:val="left"/>
              <w:rPr>
                <w:rFonts w:ascii="Times New Roman" w:hAnsi="Times New Roman"/>
                <w:szCs w:val="22"/>
                <w:lang w:val="en-GB"/>
              </w:rPr>
            </w:pPr>
          </w:p>
        </w:tc>
        <w:tc>
          <w:tcPr>
            <w:tcW w:w="606" w:type="pct"/>
          </w:tcPr>
          <w:p w:rsidR="006474D5" w:rsidRPr="004F2CBA" w:rsidRDefault="006474D5" w:rsidP="002E0DE0">
            <w:pPr>
              <w:suppressAutoHyphens/>
              <w:snapToGrid w:val="0"/>
              <w:jc w:val="left"/>
              <w:rPr>
                <w:rFonts w:ascii="Times New Roman" w:hAnsi="Times New Roman"/>
                <w:color w:val="000000"/>
                <w:szCs w:val="22"/>
                <w:lang w:val="es-ES_tradnl" w:eastAsia="uk-UA"/>
              </w:rPr>
            </w:pPr>
            <w:r w:rsidRPr="006474D5">
              <w:rPr>
                <w:rFonts w:ascii="Times New Roman" w:hAnsi="Times New Roman"/>
                <w:color w:val="000000"/>
                <w:szCs w:val="22"/>
              </w:rPr>
              <w:t>Risque sanitaire en raison d'Ebola.</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l'exécution de la Subvention de Préparation du Projet (PPG).</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Santé / Social</w:t>
            </w:r>
          </w:p>
        </w:tc>
        <w:tc>
          <w:tcPr>
            <w:tcW w:w="410"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P = 5</w:t>
            </w:r>
          </w:p>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 = 5</w:t>
            </w:r>
          </w:p>
        </w:tc>
        <w:tc>
          <w:tcPr>
            <w:tcW w:w="1332"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t>La Guinée est l'un des pays de l'Afrique de l'Ouest affectés par l'épidémie du virus Ebola. L'épidémie semble actuellement maîtrisée, les cas nouveaux recensés chaque semaine étant en baisse. La mise en œuvre des activités du projet peut être compromise jusqu’au retour à la normale de la situation sanitaire. Le lancement de l'exécution du projet est susceptible d'être retardé.</w:t>
            </w:r>
          </w:p>
        </w:tc>
        <w:tc>
          <w:tcPr>
            <w:tcW w:w="376"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t>Le Bureau Pays assure le suivi.</w:t>
            </w:r>
          </w:p>
        </w:tc>
        <w:tc>
          <w:tcPr>
            <w:tcW w:w="414" w:type="pct"/>
          </w:tcPr>
          <w:p w:rsidR="006474D5" w:rsidRPr="00865A23" w:rsidRDefault="006474D5" w:rsidP="002E0DE0">
            <w:pPr>
              <w:jc w:val="left"/>
              <w:rPr>
                <w:rFonts w:ascii="Times New Roman" w:hAnsi="Times New Roman"/>
                <w:szCs w:val="22"/>
              </w:rPr>
            </w:pPr>
          </w:p>
        </w:tc>
        <w:tc>
          <w:tcPr>
            <w:tcW w:w="308" w:type="pct"/>
          </w:tcPr>
          <w:p w:rsidR="006474D5" w:rsidRPr="00865A23" w:rsidRDefault="006474D5" w:rsidP="002E0DE0">
            <w:pPr>
              <w:jc w:val="left"/>
              <w:rPr>
                <w:rFonts w:ascii="Times New Roman" w:hAnsi="Times New Roman"/>
                <w:szCs w:val="22"/>
              </w:rPr>
            </w:pPr>
          </w:p>
        </w:tc>
        <w:tc>
          <w:tcPr>
            <w:tcW w:w="305" w:type="pct"/>
          </w:tcPr>
          <w:p w:rsidR="006474D5" w:rsidRPr="00865A23" w:rsidRDefault="006474D5" w:rsidP="002E0DE0">
            <w:pPr>
              <w:jc w:val="left"/>
              <w:rPr>
                <w:rFonts w:ascii="Times New Roman" w:hAnsi="Times New Roman"/>
                <w:szCs w:val="22"/>
              </w:rPr>
            </w:pPr>
          </w:p>
        </w:tc>
      </w:tr>
      <w:tr w:rsidR="002E0DE0" w:rsidRPr="006474D5" w:rsidTr="002E0DE0">
        <w:tc>
          <w:tcPr>
            <w:tcW w:w="158" w:type="pct"/>
          </w:tcPr>
          <w:p w:rsidR="006474D5" w:rsidRPr="00865A23" w:rsidRDefault="006474D5" w:rsidP="002E0DE0">
            <w:pPr>
              <w:numPr>
                <w:ilvl w:val="0"/>
                <w:numId w:val="38"/>
              </w:numPr>
              <w:tabs>
                <w:tab w:val="left" w:pos="720"/>
              </w:tabs>
              <w:spacing w:after="0"/>
              <w:jc w:val="left"/>
              <w:rPr>
                <w:rFonts w:ascii="Times New Roman" w:hAnsi="Times New Roman"/>
                <w:szCs w:val="22"/>
              </w:rPr>
            </w:pPr>
          </w:p>
        </w:tc>
        <w:tc>
          <w:tcPr>
            <w:tcW w:w="606" w:type="pct"/>
          </w:tcPr>
          <w:p w:rsidR="006474D5" w:rsidRPr="00865A23" w:rsidRDefault="006474D5" w:rsidP="002E0DE0">
            <w:pPr>
              <w:suppressAutoHyphens/>
              <w:snapToGrid w:val="0"/>
              <w:jc w:val="left"/>
              <w:rPr>
                <w:rFonts w:ascii="Times New Roman" w:hAnsi="Times New Roman"/>
                <w:szCs w:val="22"/>
                <w:lang w:eastAsia="ar-SA"/>
              </w:rPr>
            </w:pPr>
            <w:r w:rsidRPr="006474D5">
              <w:rPr>
                <w:rFonts w:ascii="Times New Roman" w:hAnsi="Times New Roman"/>
                <w:color w:val="000000"/>
                <w:szCs w:val="22"/>
              </w:rPr>
              <w:t>Institutionnel et réglementaire : Réticence dans certains cercles du Gouvernement à introduire les politiques et réglementations nécessaires de soutien.</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la rédaction du FIP (Formulaire d'identification du projet) et la mise en œuvre de la PPG.</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Institutionnel</w:t>
            </w:r>
          </w:p>
        </w:tc>
        <w:tc>
          <w:tcPr>
            <w:tcW w:w="410"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P = 2</w:t>
            </w:r>
          </w:p>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 = 3</w:t>
            </w:r>
          </w:p>
        </w:tc>
        <w:tc>
          <w:tcPr>
            <w:tcW w:w="1332" w:type="pct"/>
          </w:tcPr>
          <w:p w:rsidR="006474D5" w:rsidRPr="004F2CBA" w:rsidRDefault="006474D5" w:rsidP="002E0DE0">
            <w:pPr>
              <w:jc w:val="left"/>
              <w:rPr>
                <w:rFonts w:ascii="Times New Roman" w:hAnsi="Times New Roman"/>
                <w:szCs w:val="22"/>
              </w:rPr>
            </w:pPr>
            <w:r w:rsidRPr="006474D5">
              <w:rPr>
                <w:rFonts w:ascii="Times New Roman" w:hAnsi="Times New Roman"/>
                <w:szCs w:val="22"/>
              </w:rPr>
              <w:t>Le Gouvernement de Guinée est fortement déterminé à offrir l’accès à des services d'énergie modernisés à une large population rurale et péri-urbaine qui utilise du bois de chauffage / du charbon pour cuisiner. Cette initiative s’inscrit également dans la perspective d’une limitation de la déforestation massive découlant de l'utilisation des ressources forestières.</w:t>
            </w:r>
            <w:r w:rsidR="00C77FA3">
              <w:rPr>
                <w:rFonts w:ascii="Times New Roman" w:hAnsi="Times New Roman"/>
                <w:szCs w:val="22"/>
              </w:rPr>
              <w:t xml:space="preserve"> </w:t>
            </w:r>
            <w:r w:rsidRPr="006474D5">
              <w:rPr>
                <w:rFonts w:ascii="Times New Roman" w:hAnsi="Times New Roman"/>
                <w:szCs w:val="22"/>
              </w:rPr>
              <w:t>Il veillera donc à obtenir la participation de l'ensemble de ses Ministères / Départements / Directions connexes,</w:t>
            </w:r>
            <w:r w:rsidR="00C77FA3">
              <w:rPr>
                <w:rFonts w:ascii="Times New Roman" w:hAnsi="Times New Roman"/>
                <w:szCs w:val="22"/>
              </w:rPr>
              <w:t xml:space="preserve"> </w:t>
            </w:r>
            <w:r w:rsidRPr="006474D5">
              <w:rPr>
                <w:rFonts w:ascii="Times New Roman" w:hAnsi="Times New Roman"/>
                <w:szCs w:val="22"/>
              </w:rPr>
              <w:t>afin de mettre en place une politique propice ainsi qu'un cadre réglementaire favorable à la promotion et au développement du biogaz.</w:t>
            </w:r>
          </w:p>
        </w:tc>
        <w:tc>
          <w:tcPr>
            <w:tcW w:w="376"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t>Le Bureau Pays assure le suivi.</w:t>
            </w:r>
          </w:p>
        </w:tc>
        <w:tc>
          <w:tcPr>
            <w:tcW w:w="414" w:type="pct"/>
          </w:tcPr>
          <w:p w:rsidR="006474D5" w:rsidRPr="00865A23" w:rsidRDefault="006474D5" w:rsidP="002E0DE0">
            <w:pPr>
              <w:jc w:val="left"/>
              <w:rPr>
                <w:rFonts w:ascii="Times New Roman" w:hAnsi="Times New Roman"/>
                <w:szCs w:val="22"/>
              </w:rPr>
            </w:pPr>
          </w:p>
        </w:tc>
        <w:tc>
          <w:tcPr>
            <w:tcW w:w="308" w:type="pct"/>
          </w:tcPr>
          <w:p w:rsidR="006474D5" w:rsidRPr="00865A23" w:rsidRDefault="006474D5" w:rsidP="002E0DE0">
            <w:pPr>
              <w:jc w:val="left"/>
              <w:rPr>
                <w:rFonts w:ascii="Times New Roman" w:hAnsi="Times New Roman"/>
                <w:szCs w:val="22"/>
              </w:rPr>
            </w:pPr>
          </w:p>
        </w:tc>
        <w:tc>
          <w:tcPr>
            <w:tcW w:w="305" w:type="pct"/>
          </w:tcPr>
          <w:p w:rsidR="006474D5" w:rsidRPr="00865A23" w:rsidRDefault="006474D5" w:rsidP="002E0DE0">
            <w:pPr>
              <w:jc w:val="left"/>
              <w:rPr>
                <w:rFonts w:ascii="Times New Roman" w:hAnsi="Times New Roman"/>
                <w:szCs w:val="22"/>
              </w:rPr>
            </w:pPr>
          </w:p>
        </w:tc>
      </w:tr>
      <w:tr w:rsidR="002E0DE0" w:rsidRPr="006474D5" w:rsidTr="002E0DE0">
        <w:tc>
          <w:tcPr>
            <w:tcW w:w="158" w:type="pct"/>
          </w:tcPr>
          <w:p w:rsidR="006474D5" w:rsidRPr="00865A23" w:rsidRDefault="006474D5" w:rsidP="006474D5">
            <w:pPr>
              <w:numPr>
                <w:ilvl w:val="0"/>
                <w:numId w:val="38"/>
              </w:numPr>
              <w:tabs>
                <w:tab w:val="left" w:pos="720"/>
              </w:tabs>
              <w:spacing w:after="0"/>
              <w:jc w:val="center"/>
              <w:rPr>
                <w:rFonts w:ascii="Times New Roman" w:hAnsi="Times New Roman"/>
                <w:szCs w:val="22"/>
              </w:rPr>
            </w:pPr>
          </w:p>
        </w:tc>
        <w:tc>
          <w:tcPr>
            <w:tcW w:w="606" w:type="pct"/>
          </w:tcPr>
          <w:p w:rsidR="006474D5" w:rsidRPr="004F2CBA" w:rsidRDefault="006474D5" w:rsidP="002E0DE0">
            <w:pPr>
              <w:jc w:val="left"/>
              <w:rPr>
                <w:rFonts w:ascii="Times New Roman" w:hAnsi="Times New Roman"/>
                <w:color w:val="000000"/>
                <w:szCs w:val="22"/>
                <w:lang w:val="es-ES_tradnl" w:eastAsia="uk-UA"/>
              </w:rPr>
            </w:pPr>
            <w:r w:rsidRPr="006474D5">
              <w:rPr>
                <w:rFonts w:ascii="Times New Roman" w:hAnsi="Times New Roman"/>
                <w:color w:val="000000"/>
                <w:szCs w:val="22"/>
              </w:rPr>
              <w:t>Économique / Financier : Absence de disponibilité du crédit pour les promoteurs de biogaz.</w:t>
            </w:r>
            <w:r w:rsidR="00C77FA3">
              <w:rPr>
                <w:rFonts w:ascii="Times New Roman" w:hAnsi="Times New Roman"/>
                <w:color w:val="000000"/>
                <w:szCs w:val="22"/>
              </w:rPr>
              <w:t xml:space="preserve"> </w:t>
            </w:r>
            <w:r w:rsidRPr="006474D5">
              <w:rPr>
                <w:rFonts w:ascii="Times New Roman" w:hAnsi="Times New Roman"/>
                <w:color w:val="000000"/>
                <w:szCs w:val="22"/>
              </w:rPr>
              <w:t xml:space="preserve"> </w:t>
            </w:r>
          </w:p>
          <w:p w:rsidR="006474D5" w:rsidRPr="00865A23" w:rsidRDefault="006474D5" w:rsidP="002E0DE0">
            <w:pPr>
              <w:jc w:val="left"/>
              <w:rPr>
                <w:rFonts w:ascii="Times New Roman" w:hAnsi="Times New Roman"/>
                <w:szCs w:val="22"/>
              </w:rPr>
            </w:pPr>
            <w:r w:rsidRPr="006474D5">
              <w:rPr>
                <w:rFonts w:ascii="Times New Roman" w:hAnsi="Times New Roman"/>
                <w:color w:val="000000"/>
                <w:szCs w:val="22"/>
              </w:rPr>
              <w:t>Climat peu favorable à l'investissement.</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la rédaction du FIP (Formulaire d'identification du projet) et la mise en œuvre de la PPG (Subvention de préparation de projet).</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Financier</w:t>
            </w:r>
          </w:p>
        </w:tc>
        <w:tc>
          <w:tcPr>
            <w:tcW w:w="410"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P = 3</w:t>
            </w:r>
          </w:p>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 = 3</w:t>
            </w:r>
          </w:p>
        </w:tc>
        <w:tc>
          <w:tcPr>
            <w:tcW w:w="1332" w:type="pct"/>
          </w:tcPr>
          <w:p w:rsidR="006474D5" w:rsidRPr="004F2CBA" w:rsidRDefault="006474D5" w:rsidP="002E0DE0">
            <w:pPr>
              <w:jc w:val="left"/>
              <w:rPr>
                <w:rFonts w:ascii="Times New Roman" w:hAnsi="Times New Roman"/>
                <w:color w:val="000000"/>
                <w:szCs w:val="22"/>
                <w:lang w:eastAsia="uk-UA"/>
              </w:rPr>
            </w:pPr>
            <w:r w:rsidRPr="006474D5">
              <w:rPr>
                <w:rFonts w:ascii="Times New Roman" w:hAnsi="Times New Roman"/>
                <w:szCs w:val="22"/>
              </w:rPr>
              <w:t>La Guinée se classe à la 175ème place du classement de « Facilité de conduite des affaires », selon la publication « Doing Business 2014 » de la BM/SFI (Banque mondiale / Société financière internationale). En gardant cela à l'esprit, le projet facilitera le développement des capacités des IMF, et le crédit aux consommateurs. En outre, le projet mettra en place un Mécanisme de soutien financier ayant pour vocation de minimiser les risques financiers auxquels les consommateurs comme les prêteurs peuvent être confrontés dans les entreprises ayant trait aux digesteurs à biogaz.</w:t>
            </w:r>
          </w:p>
        </w:tc>
        <w:tc>
          <w:tcPr>
            <w:tcW w:w="376"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t>Le Bureau Pays assure le suivi.</w:t>
            </w:r>
          </w:p>
        </w:tc>
        <w:tc>
          <w:tcPr>
            <w:tcW w:w="414" w:type="pct"/>
          </w:tcPr>
          <w:p w:rsidR="006474D5" w:rsidRPr="00865A23" w:rsidRDefault="006474D5" w:rsidP="002E0DE0">
            <w:pPr>
              <w:jc w:val="left"/>
              <w:rPr>
                <w:rFonts w:ascii="Times New Roman" w:hAnsi="Times New Roman"/>
                <w:szCs w:val="22"/>
              </w:rPr>
            </w:pPr>
          </w:p>
        </w:tc>
        <w:tc>
          <w:tcPr>
            <w:tcW w:w="308" w:type="pct"/>
          </w:tcPr>
          <w:p w:rsidR="006474D5" w:rsidRPr="00865A23" w:rsidRDefault="006474D5" w:rsidP="002E0DE0">
            <w:pPr>
              <w:jc w:val="left"/>
              <w:rPr>
                <w:rFonts w:ascii="Times New Roman" w:hAnsi="Times New Roman"/>
                <w:szCs w:val="22"/>
              </w:rPr>
            </w:pPr>
          </w:p>
        </w:tc>
        <w:tc>
          <w:tcPr>
            <w:tcW w:w="305" w:type="pct"/>
          </w:tcPr>
          <w:p w:rsidR="006474D5" w:rsidRPr="00865A23" w:rsidRDefault="006474D5" w:rsidP="002E0DE0">
            <w:pPr>
              <w:jc w:val="left"/>
              <w:rPr>
                <w:rFonts w:ascii="Times New Roman" w:hAnsi="Times New Roman"/>
                <w:szCs w:val="22"/>
              </w:rPr>
            </w:pPr>
          </w:p>
        </w:tc>
      </w:tr>
      <w:tr w:rsidR="002E0DE0" w:rsidRPr="006474D5" w:rsidTr="002E0DE0">
        <w:tc>
          <w:tcPr>
            <w:tcW w:w="158" w:type="pct"/>
          </w:tcPr>
          <w:p w:rsidR="006474D5" w:rsidRPr="00865A23" w:rsidRDefault="006474D5" w:rsidP="006474D5">
            <w:pPr>
              <w:numPr>
                <w:ilvl w:val="0"/>
                <w:numId w:val="38"/>
              </w:numPr>
              <w:tabs>
                <w:tab w:val="left" w:pos="720"/>
              </w:tabs>
              <w:spacing w:after="0"/>
              <w:jc w:val="center"/>
              <w:rPr>
                <w:rFonts w:ascii="Times New Roman" w:hAnsi="Times New Roman"/>
                <w:szCs w:val="22"/>
              </w:rPr>
            </w:pPr>
          </w:p>
        </w:tc>
        <w:tc>
          <w:tcPr>
            <w:tcW w:w="606" w:type="pct"/>
          </w:tcPr>
          <w:p w:rsidR="006474D5" w:rsidRPr="00865A23" w:rsidRDefault="006474D5" w:rsidP="002E0DE0">
            <w:pPr>
              <w:jc w:val="left"/>
              <w:rPr>
                <w:rFonts w:ascii="Times New Roman" w:hAnsi="Times New Roman"/>
                <w:szCs w:val="22"/>
              </w:rPr>
            </w:pPr>
            <w:r w:rsidRPr="006474D5">
              <w:rPr>
                <w:rFonts w:ascii="Times New Roman" w:hAnsi="Times New Roman"/>
                <w:color w:val="000000"/>
                <w:szCs w:val="22"/>
              </w:rPr>
              <w:t>Climat peu favorable à l'investissement.</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la rédaction du FIP (Formulaire d'identification du projet) et la mise en œuvre de la PPG.</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Financier</w:t>
            </w:r>
          </w:p>
        </w:tc>
        <w:tc>
          <w:tcPr>
            <w:tcW w:w="410" w:type="pct"/>
          </w:tcPr>
          <w:p w:rsidR="006474D5" w:rsidRPr="006474D5" w:rsidRDefault="006474D5" w:rsidP="002E0DE0">
            <w:pPr>
              <w:spacing w:after="120"/>
              <w:jc w:val="left"/>
              <w:rPr>
                <w:rFonts w:ascii="Times New Roman" w:hAnsi="Times New Roman"/>
                <w:szCs w:val="22"/>
                <w:lang w:val="en-GB"/>
              </w:rPr>
            </w:pPr>
            <w:r w:rsidRPr="006474D5">
              <w:rPr>
                <w:rFonts w:ascii="Times New Roman" w:hAnsi="Times New Roman"/>
                <w:szCs w:val="22"/>
              </w:rPr>
              <w:t>P = 4</w:t>
            </w:r>
          </w:p>
          <w:p w:rsidR="006474D5" w:rsidRPr="006474D5" w:rsidRDefault="006474D5" w:rsidP="002E0DE0">
            <w:pPr>
              <w:spacing w:after="120"/>
              <w:jc w:val="left"/>
              <w:rPr>
                <w:rFonts w:ascii="Times New Roman" w:hAnsi="Times New Roman"/>
                <w:szCs w:val="22"/>
                <w:lang w:val="en-GB"/>
              </w:rPr>
            </w:pPr>
            <w:r w:rsidRPr="006474D5">
              <w:rPr>
                <w:rFonts w:ascii="Times New Roman" w:hAnsi="Times New Roman"/>
                <w:szCs w:val="22"/>
              </w:rPr>
              <w:t>I = 4</w:t>
            </w:r>
          </w:p>
        </w:tc>
        <w:tc>
          <w:tcPr>
            <w:tcW w:w="1332" w:type="pct"/>
          </w:tcPr>
          <w:p w:rsidR="006474D5" w:rsidRPr="004F2CBA" w:rsidRDefault="006474D5" w:rsidP="002E0DE0">
            <w:pPr>
              <w:jc w:val="left"/>
              <w:rPr>
                <w:rFonts w:ascii="Times New Roman" w:hAnsi="Times New Roman"/>
                <w:color w:val="000000"/>
                <w:szCs w:val="22"/>
                <w:lang w:eastAsia="uk-UA"/>
              </w:rPr>
            </w:pPr>
            <w:r w:rsidRPr="006474D5">
              <w:rPr>
                <w:rFonts w:ascii="Times New Roman" w:hAnsi="Times New Roman"/>
                <w:szCs w:val="22"/>
              </w:rPr>
              <w:t xml:space="preserve">La Guinée se classe à la 175ème place du classement de « Facilité de conduite des affaires », selon la publication « Doing Business 2014 » de la BM/SFI (Banque mondiale / Société financière internationale). En gardant cela à l'esprit, le projet facilitera le développement des capacités des IMF, et le crédit aux consommateurs. En outre, le projet mettra en place un Mécanisme de soutien financier ayant pour vocation de minimiser les risques financiers auxquels les consommateurs comme les prêteurs peuvent être confrontés </w:t>
            </w:r>
            <w:r w:rsidRPr="006474D5">
              <w:rPr>
                <w:rFonts w:ascii="Times New Roman" w:hAnsi="Times New Roman"/>
                <w:szCs w:val="22"/>
              </w:rPr>
              <w:lastRenderedPageBreak/>
              <w:t>dans les entreprises ayant trait aux digesteurs à biogaz.</w:t>
            </w:r>
          </w:p>
        </w:tc>
        <w:tc>
          <w:tcPr>
            <w:tcW w:w="376"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lastRenderedPageBreak/>
              <w:t>Le Bureau Pays assure le suivi.</w:t>
            </w:r>
          </w:p>
        </w:tc>
        <w:tc>
          <w:tcPr>
            <w:tcW w:w="414" w:type="pct"/>
          </w:tcPr>
          <w:p w:rsidR="006474D5" w:rsidRPr="00865A23" w:rsidRDefault="006474D5" w:rsidP="002E0DE0">
            <w:pPr>
              <w:jc w:val="left"/>
              <w:rPr>
                <w:rFonts w:ascii="Times New Roman" w:hAnsi="Times New Roman"/>
                <w:szCs w:val="22"/>
              </w:rPr>
            </w:pPr>
          </w:p>
        </w:tc>
        <w:tc>
          <w:tcPr>
            <w:tcW w:w="308" w:type="pct"/>
          </w:tcPr>
          <w:p w:rsidR="006474D5" w:rsidRPr="00865A23" w:rsidRDefault="006474D5" w:rsidP="002E0DE0">
            <w:pPr>
              <w:jc w:val="left"/>
              <w:rPr>
                <w:rFonts w:ascii="Times New Roman" w:hAnsi="Times New Roman"/>
                <w:szCs w:val="22"/>
              </w:rPr>
            </w:pPr>
          </w:p>
        </w:tc>
        <w:tc>
          <w:tcPr>
            <w:tcW w:w="305" w:type="pct"/>
          </w:tcPr>
          <w:p w:rsidR="006474D5" w:rsidRPr="00865A23" w:rsidRDefault="006474D5" w:rsidP="002E0DE0">
            <w:pPr>
              <w:jc w:val="left"/>
              <w:rPr>
                <w:rFonts w:ascii="Times New Roman" w:hAnsi="Times New Roman"/>
                <w:szCs w:val="22"/>
              </w:rPr>
            </w:pPr>
          </w:p>
        </w:tc>
      </w:tr>
      <w:tr w:rsidR="002E0DE0" w:rsidRPr="006474D5" w:rsidTr="002E0DE0">
        <w:tc>
          <w:tcPr>
            <w:tcW w:w="158" w:type="pct"/>
          </w:tcPr>
          <w:p w:rsidR="006474D5" w:rsidRPr="00865A23" w:rsidRDefault="006474D5" w:rsidP="006474D5">
            <w:pPr>
              <w:numPr>
                <w:ilvl w:val="0"/>
                <w:numId w:val="38"/>
              </w:numPr>
              <w:tabs>
                <w:tab w:val="left" w:pos="720"/>
              </w:tabs>
              <w:spacing w:after="0"/>
              <w:jc w:val="center"/>
              <w:rPr>
                <w:rFonts w:ascii="Times New Roman" w:hAnsi="Times New Roman"/>
                <w:szCs w:val="22"/>
              </w:rPr>
            </w:pPr>
          </w:p>
        </w:tc>
        <w:tc>
          <w:tcPr>
            <w:tcW w:w="606" w:type="pct"/>
          </w:tcPr>
          <w:p w:rsidR="006474D5" w:rsidRPr="00865A23" w:rsidRDefault="006474D5" w:rsidP="002E0DE0">
            <w:pPr>
              <w:jc w:val="left"/>
              <w:rPr>
                <w:rFonts w:ascii="Times New Roman" w:hAnsi="Times New Roman"/>
                <w:color w:val="000000"/>
                <w:szCs w:val="22"/>
                <w:lang w:eastAsia="uk-UA"/>
              </w:rPr>
            </w:pPr>
            <w:r w:rsidRPr="006474D5">
              <w:rPr>
                <w:rFonts w:ascii="Times New Roman" w:hAnsi="Times New Roman"/>
                <w:color w:val="000000"/>
                <w:szCs w:val="22"/>
              </w:rPr>
              <w:t>Technologie : Digesteurs/fours à biogaz d'une conception inadéquate et/ou d'une qualité médiocre introduits dans le pays.</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la rédaction du FIP (Formulaire d'identification du projet) et la mise en œuvre de la PPG.</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Technique</w:t>
            </w:r>
          </w:p>
        </w:tc>
        <w:tc>
          <w:tcPr>
            <w:tcW w:w="410"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P = 2</w:t>
            </w:r>
          </w:p>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 = 2</w:t>
            </w:r>
          </w:p>
        </w:tc>
        <w:tc>
          <w:tcPr>
            <w:tcW w:w="1332"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 xml:space="preserve">Le projet mettra en place des accords de réseau avec d'autres pays africains forts de plusieurs années d'expérience avec le biogaz (Bénin, Burkina Faso, Sénégal, etc.) dans le cadre de programmes mis en œuvre par la SNV et d'autres partenaires. Ceci garantira que seuls les modèles performants de digesteurs soient introduits et d'éviter que les erreurs faites ailleurs soient reproduites. </w:t>
            </w:r>
          </w:p>
          <w:p w:rsidR="006474D5" w:rsidRPr="004F2CBA" w:rsidRDefault="006474D5" w:rsidP="002E0DE0">
            <w:pPr>
              <w:jc w:val="left"/>
              <w:rPr>
                <w:rFonts w:ascii="Times New Roman" w:hAnsi="Times New Roman"/>
                <w:color w:val="000000"/>
                <w:szCs w:val="22"/>
                <w:lang w:val="es-ES_tradnl" w:eastAsia="uk-UA"/>
              </w:rPr>
            </w:pPr>
            <w:r w:rsidRPr="006474D5">
              <w:rPr>
                <w:rFonts w:ascii="Times New Roman" w:hAnsi="Times New Roman"/>
                <w:szCs w:val="22"/>
              </w:rPr>
              <w:t>Par ailleurs, le projet fera venir des formateurs de ces pays afin d'assurer aux constructeurs guinéens une formation en matière de construction de digesteur de qualité supérieure.</w:t>
            </w:r>
          </w:p>
        </w:tc>
        <w:tc>
          <w:tcPr>
            <w:tcW w:w="376"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t>Le Bureau Pays assure le suivi.</w:t>
            </w:r>
          </w:p>
        </w:tc>
        <w:tc>
          <w:tcPr>
            <w:tcW w:w="414" w:type="pct"/>
          </w:tcPr>
          <w:p w:rsidR="006474D5" w:rsidRPr="00865A23" w:rsidRDefault="006474D5" w:rsidP="002E0DE0">
            <w:pPr>
              <w:rPr>
                <w:rFonts w:ascii="Times New Roman" w:hAnsi="Times New Roman"/>
                <w:szCs w:val="22"/>
              </w:rPr>
            </w:pPr>
          </w:p>
        </w:tc>
        <w:tc>
          <w:tcPr>
            <w:tcW w:w="308" w:type="pct"/>
          </w:tcPr>
          <w:p w:rsidR="006474D5" w:rsidRPr="00865A23" w:rsidRDefault="006474D5" w:rsidP="002E0DE0">
            <w:pPr>
              <w:jc w:val="center"/>
              <w:rPr>
                <w:rFonts w:ascii="Times New Roman" w:hAnsi="Times New Roman"/>
                <w:szCs w:val="22"/>
              </w:rPr>
            </w:pPr>
          </w:p>
        </w:tc>
        <w:tc>
          <w:tcPr>
            <w:tcW w:w="305" w:type="pct"/>
          </w:tcPr>
          <w:p w:rsidR="006474D5" w:rsidRPr="00865A23" w:rsidRDefault="006474D5" w:rsidP="002E0DE0">
            <w:pPr>
              <w:jc w:val="center"/>
              <w:rPr>
                <w:rFonts w:ascii="Times New Roman" w:hAnsi="Times New Roman"/>
                <w:szCs w:val="22"/>
              </w:rPr>
            </w:pPr>
          </w:p>
        </w:tc>
      </w:tr>
      <w:tr w:rsidR="002E0DE0" w:rsidRPr="006474D5" w:rsidTr="002E0DE0">
        <w:tc>
          <w:tcPr>
            <w:tcW w:w="158" w:type="pct"/>
          </w:tcPr>
          <w:p w:rsidR="006474D5" w:rsidRPr="00865A23" w:rsidRDefault="006474D5" w:rsidP="006474D5">
            <w:pPr>
              <w:numPr>
                <w:ilvl w:val="0"/>
                <w:numId w:val="38"/>
              </w:numPr>
              <w:tabs>
                <w:tab w:val="left" w:pos="720"/>
              </w:tabs>
              <w:spacing w:after="0"/>
              <w:jc w:val="center"/>
              <w:rPr>
                <w:rFonts w:ascii="Times New Roman" w:hAnsi="Times New Roman"/>
                <w:szCs w:val="22"/>
              </w:rPr>
            </w:pPr>
          </w:p>
        </w:tc>
        <w:tc>
          <w:tcPr>
            <w:tcW w:w="606" w:type="pct"/>
          </w:tcPr>
          <w:p w:rsidR="006474D5" w:rsidRPr="004F2CBA" w:rsidRDefault="006474D5" w:rsidP="002E0DE0">
            <w:pPr>
              <w:jc w:val="left"/>
              <w:rPr>
                <w:rFonts w:ascii="Times New Roman" w:hAnsi="Times New Roman"/>
                <w:color w:val="000000"/>
                <w:szCs w:val="22"/>
                <w:lang w:val="es-ES_tradnl" w:eastAsia="uk-UA"/>
              </w:rPr>
            </w:pPr>
            <w:r w:rsidRPr="006474D5">
              <w:rPr>
                <w:rFonts w:ascii="Times New Roman" w:hAnsi="Times New Roman"/>
                <w:szCs w:val="22"/>
              </w:rPr>
              <w:t>Les précautions en matière de sécurité peuvent être négligées, conduisant à des fuites de substance toxique, comme le méthane.</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la rédaction du FIP (Formulaire d'identification du projet) et la mise en œuvre de la PPG.</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Technique</w:t>
            </w:r>
          </w:p>
        </w:tc>
        <w:tc>
          <w:tcPr>
            <w:tcW w:w="410"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P = 2</w:t>
            </w:r>
          </w:p>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 = 2</w:t>
            </w:r>
          </w:p>
        </w:tc>
        <w:tc>
          <w:tcPr>
            <w:tcW w:w="1332" w:type="pct"/>
          </w:tcPr>
          <w:p w:rsidR="006474D5" w:rsidRPr="004F2CBA" w:rsidRDefault="006474D5" w:rsidP="002E0DE0">
            <w:pPr>
              <w:jc w:val="left"/>
              <w:rPr>
                <w:rFonts w:ascii="Times New Roman" w:hAnsi="Times New Roman"/>
                <w:bCs/>
                <w:szCs w:val="22"/>
              </w:rPr>
            </w:pPr>
            <w:r w:rsidRPr="006474D5">
              <w:rPr>
                <w:rFonts w:ascii="Times New Roman" w:hAnsi="Times New Roman"/>
                <w:szCs w:val="22"/>
              </w:rPr>
              <w:t>Pendant l'installation et l'achèvement ultérieur de la construction d'un digesteur, les consommateurs seront initiés à une utilisation sans danger du biogaz. Au cours de l'exécution du projet, une surveillance rigoureuse des fuites de méthane sera entreprise, et en cas d'une fuite quelconque, une évaluation sera conduite qui portera sur les risques sanitaires ainsi que l'impact des GES associés imputables au méthane. On pourra avoir recours à des</w:t>
            </w:r>
            <w:r w:rsidR="00C77FA3">
              <w:rPr>
                <w:rFonts w:ascii="Times New Roman" w:hAnsi="Times New Roman"/>
                <w:szCs w:val="22"/>
              </w:rPr>
              <w:t xml:space="preserve"> </w:t>
            </w:r>
            <w:r w:rsidRPr="006474D5">
              <w:rPr>
                <w:rFonts w:ascii="Times New Roman" w:hAnsi="Times New Roman"/>
                <w:szCs w:val="22"/>
              </w:rPr>
              <w:t xml:space="preserve">méthodologies comme la méthodologie CDM </w:t>
            </w:r>
            <w:r w:rsidRPr="006474D5">
              <w:rPr>
                <w:rFonts w:ascii="Times New Roman" w:hAnsi="Times New Roman"/>
                <w:szCs w:val="22"/>
              </w:rPr>
              <w:lastRenderedPageBreak/>
              <w:t xml:space="preserve">(AMSIIIH/traitement du fumier), supposant une fuite de 10 % du potentiel maximum de production du méthane résultant de la production, de la collecte et du transport vers un système de torchage (valeur par défaut GIECC). </w:t>
            </w:r>
          </w:p>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 xml:space="preserve">Le contenu en méthane du biogaz peut causer des incendies en cas de fuite et en la présence d'une flamme ou d'une étincelle. Toutefois, le sulfure d'hydrogène (H2S), (lui-même très toxique) dans le gaz peut rapidement alerter de l'existence d'une fuite, en raison de son odeur « d'œuf pourri », ce qui facilite la prévention des accidents. Sur les installations de grande taille, le contrôle des fuites de gaz sera effectué au moyen de capteurs à gaz. À titre de précaution, les utilisateurs seront formés à ne pas entrer dans un espace clos où du gaz peut être présent sans l'équipement personnel de protection adéquat, comme par exemple un appareil respiratoire à circuit fermé (SCBA - self-contained breathing apparatus). Quant aux digesteurs domestiques, la surveillance des fuites de gaz passe par l’information des consommateurs afin que s'ils détectent une odeur fétide, ils s'abstiennent d'utiliser le </w:t>
            </w:r>
            <w:r w:rsidRPr="006474D5">
              <w:rPr>
                <w:rFonts w:ascii="Times New Roman" w:hAnsi="Times New Roman"/>
                <w:szCs w:val="22"/>
              </w:rPr>
              <w:lastRenderedPageBreak/>
              <w:t>gaz. Ils doivent dans ce cas faire appel à un technicien qualifié, qui sera formé dans le cadre du projet, pour qu'il vienne inspecter et corriger le problème. Enfin, le risque de fuite de gaz sera minimisé grâce à une installation de qualité par des techniciens compétents ainsi que la formation des utilisateurs à des mesures de sécurité applicables lors de l'utilisation du biogaz.</w:t>
            </w:r>
          </w:p>
        </w:tc>
        <w:tc>
          <w:tcPr>
            <w:tcW w:w="376" w:type="pct"/>
          </w:tcPr>
          <w:p w:rsidR="006474D5" w:rsidRPr="00865A23" w:rsidRDefault="006474D5" w:rsidP="002E0DE0">
            <w:pPr>
              <w:jc w:val="left"/>
              <w:rPr>
                <w:rFonts w:ascii="Times New Roman" w:hAnsi="Times New Roman"/>
                <w:szCs w:val="22"/>
              </w:rPr>
            </w:pPr>
            <w:r w:rsidRPr="006474D5">
              <w:rPr>
                <w:rFonts w:ascii="Times New Roman" w:hAnsi="Times New Roman"/>
                <w:szCs w:val="22"/>
              </w:rPr>
              <w:lastRenderedPageBreak/>
              <w:t>Le Bureau Pays assure le suivi</w:t>
            </w:r>
          </w:p>
        </w:tc>
        <w:tc>
          <w:tcPr>
            <w:tcW w:w="414" w:type="pct"/>
          </w:tcPr>
          <w:p w:rsidR="006474D5" w:rsidRPr="00865A23" w:rsidRDefault="006474D5" w:rsidP="002E0DE0">
            <w:pPr>
              <w:rPr>
                <w:rFonts w:ascii="Times New Roman" w:hAnsi="Times New Roman"/>
                <w:szCs w:val="22"/>
              </w:rPr>
            </w:pPr>
          </w:p>
        </w:tc>
        <w:tc>
          <w:tcPr>
            <w:tcW w:w="308" w:type="pct"/>
          </w:tcPr>
          <w:p w:rsidR="006474D5" w:rsidRPr="00865A23" w:rsidRDefault="006474D5" w:rsidP="002E0DE0">
            <w:pPr>
              <w:jc w:val="center"/>
              <w:rPr>
                <w:rFonts w:ascii="Times New Roman" w:hAnsi="Times New Roman"/>
                <w:szCs w:val="22"/>
              </w:rPr>
            </w:pPr>
          </w:p>
        </w:tc>
        <w:tc>
          <w:tcPr>
            <w:tcW w:w="305" w:type="pct"/>
          </w:tcPr>
          <w:p w:rsidR="006474D5" w:rsidRPr="00865A23" w:rsidRDefault="006474D5" w:rsidP="002E0DE0">
            <w:pPr>
              <w:jc w:val="center"/>
              <w:rPr>
                <w:rFonts w:ascii="Times New Roman" w:hAnsi="Times New Roman"/>
                <w:szCs w:val="22"/>
              </w:rPr>
            </w:pPr>
          </w:p>
        </w:tc>
      </w:tr>
      <w:tr w:rsidR="002E0DE0" w:rsidRPr="006474D5" w:rsidTr="002E0DE0">
        <w:tc>
          <w:tcPr>
            <w:tcW w:w="158" w:type="pct"/>
          </w:tcPr>
          <w:p w:rsidR="006474D5" w:rsidRPr="00865A23" w:rsidRDefault="006474D5" w:rsidP="002E0DE0">
            <w:pPr>
              <w:numPr>
                <w:ilvl w:val="0"/>
                <w:numId w:val="38"/>
              </w:numPr>
              <w:tabs>
                <w:tab w:val="left" w:pos="720"/>
              </w:tabs>
              <w:spacing w:after="0"/>
              <w:jc w:val="left"/>
              <w:rPr>
                <w:rFonts w:ascii="Times New Roman" w:hAnsi="Times New Roman"/>
                <w:szCs w:val="22"/>
              </w:rPr>
            </w:pPr>
          </w:p>
        </w:tc>
        <w:tc>
          <w:tcPr>
            <w:tcW w:w="606" w:type="pct"/>
          </w:tcPr>
          <w:p w:rsidR="006474D5" w:rsidRPr="006474D5" w:rsidRDefault="006474D5" w:rsidP="002E0DE0">
            <w:pPr>
              <w:jc w:val="left"/>
              <w:rPr>
                <w:rFonts w:ascii="Times New Roman" w:hAnsi="Times New Roman"/>
                <w:color w:val="000000"/>
                <w:szCs w:val="22"/>
                <w:lang w:val="en-GB" w:eastAsia="uk-UA"/>
              </w:rPr>
            </w:pPr>
            <w:r w:rsidRPr="006474D5">
              <w:rPr>
                <w:rFonts w:ascii="Times New Roman" w:hAnsi="Times New Roman"/>
                <w:color w:val="000000"/>
                <w:szCs w:val="22"/>
              </w:rPr>
              <w:t>Environnemental/</w:t>
            </w:r>
          </w:p>
          <w:p w:rsidR="006474D5" w:rsidRPr="006474D5" w:rsidRDefault="006474D5" w:rsidP="002E0DE0">
            <w:pPr>
              <w:jc w:val="left"/>
              <w:rPr>
                <w:rFonts w:ascii="Times New Roman" w:hAnsi="Times New Roman"/>
                <w:color w:val="000000"/>
                <w:szCs w:val="22"/>
                <w:lang w:val="en-GB" w:eastAsia="uk-UA"/>
              </w:rPr>
            </w:pPr>
            <w:r w:rsidRPr="006474D5">
              <w:rPr>
                <w:rFonts w:ascii="Times New Roman" w:hAnsi="Times New Roman"/>
                <w:color w:val="000000"/>
                <w:szCs w:val="22"/>
              </w:rPr>
              <w:t>Changement climatique.</w:t>
            </w:r>
          </w:p>
        </w:tc>
        <w:tc>
          <w:tcPr>
            <w:tcW w:w="510" w:type="pct"/>
          </w:tcPr>
          <w:p w:rsidR="006474D5" w:rsidRPr="004F2CBA" w:rsidRDefault="006474D5" w:rsidP="002E0DE0">
            <w:pPr>
              <w:jc w:val="left"/>
              <w:rPr>
                <w:rFonts w:ascii="Times New Roman" w:hAnsi="Times New Roman"/>
                <w:szCs w:val="22"/>
                <w:lang w:val="es-ES_tradnl"/>
              </w:rPr>
            </w:pPr>
            <w:r w:rsidRPr="006474D5">
              <w:rPr>
                <w:rFonts w:ascii="Times New Roman" w:hAnsi="Times New Roman"/>
                <w:szCs w:val="22"/>
              </w:rPr>
              <w:t>Pendant la rédaction du FIP (Formulaire d'identification du projet) et la mise en œuvre de la PPG.</w:t>
            </w:r>
          </w:p>
        </w:tc>
        <w:tc>
          <w:tcPr>
            <w:tcW w:w="581"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Environnemental</w:t>
            </w:r>
          </w:p>
        </w:tc>
        <w:tc>
          <w:tcPr>
            <w:tcW w:w="410" w:type="pct"/>
          </w:tcPr>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P = 2</w:t>
            </w:r>
          </w:p>
          <w:p w:rsidR="006474D5" w:rsidRPr="006474D5" w:rsidRDefault="006474D5" w:rsidP="002E0DE0">
            <w:pPr>
              <w:jc w:val="left"/>
              <w:rPr>
                <w:rFonts w:ascii="Times New Roman" w:hAnsi="Times New Roman"/>
                <w:szCs w:val="22"/>
                <w:lang w:val="en-GB"/>
              </w:rPr>
            </w:pPr>
            <w:r w:rsidRPr="006474D5">
              <w:rPr>
                <w:rFonts w:ascii="Times New Roman" w:hAnsi="Times New Roman"/>
                <w:szCs w:val="22"/>
              </w:rPr>
              <w:t>I = 2</w:t>
            </w:r>
          </w:p>
        </w:tc>
        <w:tc>
          <w:tcPr>
            <w:tcW w:w="1332" w:type="pct"/>
          </w:tcPr>
          <w:p w:rsidR="006474D5" w:rsidRPr="004F2CBA" w:rsidRDefault="006474D5" w:rsidP="002E0DE0">
            <w:pPr>
              <w:jc w:val="left"/>
              <w:rPr>
                <w:rFonts w:ascii="Times New Roman" w:hAnsi="Times New Roman"/>
                <w:color w:val="000000"/>
                <w:szCs w:val="22"/>
                <w:lang w:val="es-ES_tradnl" w:eastAsia="uk-UA"/>
              </w:rPr>
            </w:pPr>
            <w:r w:rsidRPr="006474D5">
              <w:rPr>
                <w:rFonts w:ascii="Times New Roman" w:hAnsi="Times New Roman"/>
                <w:szCs w:val="22"/>
              </w:rPr>
              <w:t xml:space="preserve">Les risques environnementaux sont multiples (par ex. diminution de la disponibilité de la matière première/biomasse en raison de la dégradation des sols, de la réduction des pluies/du débit des eaux, de l'assèchement des zones de bassin versant en raison de la modification des conditions climatiques) et sont associés de manière potentielle au développement du biogaz. Ce risque sera atténué par une recherche portant sur une combinaison de déchets du bétail avec d'autres types de matières premières comme la biomasse agricole et les déchets de cuisine. </w:t>
            </w:r>
          </w:p>
        </w:tc>
        <w:tc>
          <w:tcPr>
            <w:tcW w:w="376" w:type="pct"/>
          </w:tcPr>
          <w:p w:rsidR="006474D5" w:rsidRPr="00865A23" w:rsidRDefault="006474D5" w:rsidP="002E0DE0">
            <w:pPr>
              <w:rPr>
                <w:rFonts w:ascii="Times New Roman" w:hAnsi="Times New Roman"/>
                <w:szCs w:val="22"/>
              </w:rPr>
            </w:pPr>
            <w:r w:rsidRPr="006474D5">
              <w:rPr>
                <w:rFonts w:ascii="Times New Roman" w:hAnsi="Times New Roman"/>
                <w:szCs w:val="22"/>
              </w:rPr>
              <w:t>Le Bureau Pays assure le suivi.</w:t>
            </w:r>
          </w:p>
        </w:tc>
        <w:tc>
          <w:tcPr>
            <w:tcW w:w="414" w:type="pct"/>
          </w:tcPr>
          <w:p w:rsidR="006474D5" w:rsidRPr="00865A23" w:rsidRDefault="006474D5" w:rsidP="002E0DE0">
            <w:pPr>
              <w:rPr>
                <w:rFonts w:ascii="Times New Roman" w:hAnsi="Times New Roman"/>
                <w:szCs w:val="22"/>
              </w:rPr>
            </w:pPr>
          </w:p>
        </w:tc>
        <w:tc>
          <w:tcPr>
            <w:tcW w:w="308" w:type="pct"/>
          </w:tcPr>
          <w:p w:rsidR="006474D5" w:rsidRPr="00865A23" w:rsidRDefault="006474D5" w:rsidP="002E0DE0">
            <w:pPr>
              <w:jc w:val="center"/>
              <w:rPr>
                <w:rFonts w:ascii="Times New Roman" w:hAnsi="Times New Roman"/>
                <w:szCs w:val="22"/>
              </w:rPr>
            </w:pPr>
          </w:p>
        </w:tc>
        <w:tc>
          <w:tcPr>
            <w:tcW w:w="305" w:type="pct"/>
          </w:tcPr>
          <w:p w:rsidR="006474D5" w:rsidRPr="00865A23" w:rsidRDefault="006474D5" w:rsidP="002E0DE0">
            <w:pPr>
              <w:jc w:val="center"/>
              <w:rPr>
                <w:rFonts w:ascii="Times New Roman" w:hAnsi="Times New Roman"/>
                <w:szCs w:val="22"/>
              </w:rPr>
            </w:pPr>
          </w:p>
        </w:tc>
      </w:tr>
    </w:tbl>
    <w:p w:rsidR="006474D5" w:rsidRPr="00865A23" w:rsidRDefault="006474D5" w:rsidP="006474D5">
      <w:pPr>
        <w:jc w:val="center"/>
        <w:rPr>
          <w:rFonts w:ascii="Times New Roman" w:hAnsi="Times New Roman"/>
          <w:szCs w:val="22"/>
        </w:rPr>
      </w:pPr>
      <w:r w:rsidRPr="006474D5">
        <w:rPr>
          <w:rFonts w:ascii="Times New Roman" w:hAnsi="Times New Roman"/>
          <w:b/>
          <w:bCs/>
          <w:szCs w:val="22"/>
        </w:rPr>
        <w:t>P</w:t>
      </w:r>
      <w:r w:rsidRPr="006474D5">
        <w:rPr>
          <w:rFonts w:ascii="Times New Roman" w:hAnsi="Times New Roman"/>
          <w:szCs w:val="22"/>
        </w:rPr>
        <w:t xml:space="preserve"> = Probabilité sur une échelle de 1 (faible) à 5 (élevée).     </w:t>
      </w:r>
      <w:r w:rsidRPr="006474D5">
        <w:rPr>
          <w:rFonts w:ascii="Times New Roman" w:hAnsi="Times New Roman"/>
          <w:b/>
          <w:bCs/>
          <w:szCs w:val="22"/>
        </w:rPr>
        <w:t xml:space="preserve">I </w:t>
      </w:r>
      <w:r w:rsidRPr="006474D5">
        <w:rPr>
          <w:rFonts w:ascii="Times New Roman" w:hAnsi="Times New Roman"/>
          <w:szCs w:val="22"/>
        </w:rPr>
        <w:t>= Impact sur une échelle de 1 (faible) à 5 (élevé).</w:t>
      </w:r>
    </w:p>
    <w:p w:rsidR="006474D5" w:rsidRPr="00865A23" w:rsidRDefault="006474D5" w:rsidP="006474D5">
      <w:pPr>
        <w:rPr>
          <w:rFonts w:ascii="Times New Roman" w:hAnsi="Times New Roman"/>
          <w:b/>
          <w:iCs/>
          <w:szCs w:val="22"/>
        </w:rPr>
      </w:pPr>
    </w:p>
    <w:p w:rsidR="006474D5" w:rsidRPr="00865A23" w:rsidRDefault="006474D5" w:rsidP="006474D5">
      <w:pPr>
        <w:rPr>
          <w:rFonts w:ascii="Times New Roman" w:hAnsi="Times New Roman"/>
          <w:b/>
          <w:iCs/>
          <w:color w:val="FF0000"/>
          <w:szCs w:val="22"/>
        </w:rPr>
        <w:sectPr w:rsidR="006474D5" w:rsidRPr="00865A23">
          <w:pgSz w:w="15840" w:h="12240" w:orient="landscape" w:code="1"/>
          <w:pgMar w:top="1440" w:right="1440" w:bottom="1411" w:left="1440" w:header="720" w:footer="720" w:gutter="0"/>
          <w:cols w:space="720"/>
          <w:docGrid w:linePitch="360"/>
        </w:sectPr>
      </w:pPr>
    </w:p>
    <w:p w:rsidR="006474D5" w:rsidRPr="0001740A" w:rsidRDefault="006474D5" w:rsidP="0001740A">
      <w:pPr>
        <w:pStyle w:val="Titre1"/>
        <w:rPr>
          <w:sz w:val="22"/>
          <w:szCs w:val="22"/>
          <w:lang w:val="en-GB" w:eastAsia="en-US"/>
        </w:rPr>
      </w:pPr>
      <w:bookmarkStart w:id="95" w:name="_Toc340830990"/>
      <w:bookmarkStart w:id="96" w:name="_Toc262924502"/>
      <w:bookmarkStart w:id="97" w:name="_Toc418144259"/>
      <w:bookmarkStart w:id="98" w:name="_Toc298586308"/>
      <w:bookmarkEnd w:id="95"/>
      <w:r w:rsidRPr="0001740A">
        <w:rPr>
          <w:sz w:val="22"/>
          <w:szCs w:val="22"/>
          <w:lang w:val="en-GB" w:eastAsia="en-US"/>
        </w:rPr>
        <w:lastRenderedPageBreak/>
        <w:t xml:space="preserve">ANNEXE 2 : </w:t>
      </w:r>
      <w:bookmarkEnd w:id="96"/>
      <w:bookmarkEnd w:id="97"/>
      <w:r w:rsidRPr="0001740A">
        <w:rPr>
          <w:sz w:val="22"/>
          <w:szCs w:val="22"/>
          <w:lang w:val="en-GB" w:eastAsia="en-US"/>
        </w:rPr>
        <w:t>MISSION</w:t>
      </w:r>
      <w:bookmarkEnd w:id="98"/>
      <w:r w:rsidRPr="0001740A">
        <w:rPr>
          <w:sz w:val="22"/>
          <w:szCs w:val="22"/>
          <w:lang w:val="en-GB" w:eastAsia="en-US"/>
        </w:rPr>
        <w:t xml:space="preserve"> </w:t>
      </w:r>
    </w:p>
    <w:p w:rsidR="006474D5" w:rsidRPr="006474D5" w:rsidRDefault="006474D5" w:rsidP="006474D5">
      <w:pPr>
        <w:rPr>
          <w:rFonts w:ascii="Times New Roman" w:hAnsi="Times New Roman"/>
          <w:iCs/>
          <w:szCs w:val="22"/>
          <w:lang w:val="en-GB"/>
        </w:rPr>
      </w:pPr>
    </w:p>
    <w:p w:rsidR="006474D5" w:rsidRPr="006474D5" w:rsidRDefault="006474D5" w:rsidP="006474D5">
      <w:pPr>
        <w:rPr>
          <w:rFonts w:ascii="Times New Roman" w:hAnsi="Times New Roman"/>
          <w:iCs/>
          <w:szCs w:val="22"/>
          <w:lang w:val="en-GB"/>
        </w:rPr>
      </w:pPr>
      <w:r w:rsidRPr="006474D5">
        <w:rPr>
          <w:rFonts w:ascii="Times New Roman" w:hAnsi="Times New Roman"/>
          <w:b/>
          <w:bCs/>
          <w:szCs w:val="22"/>
        </w:rPr>
        <w:t>1. Chef de projet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60"/>
        <w:gridCol w:w="7380"/>
      </w:tblGrid>
      <w:tr w:rsidR="006474D5" w:rsidRPr="006474D5" w:rsidTr="002E0DE0">
        <w:trPr>
          <w:trHeight w:val="368"/>
        </w:trPr>
        <w:tc>
          <w:tcPr>
            <w:tcW w:w="2880" w:type="dxa"/>
            <w:gridSpan w:val="2"/>
          </w:tcPr>
          <w:p w:rsidR="006474D5" w:rsidRPr="004F2CBA" w:rsidRDefault="006474D5" w:rsidP="002E0DE0">
            <w:pPr>
              <w:rPr>
                <w:rFonts w:ascii="Times New Roman" w:hAnsi="Times New Roman"/>
                <w:b/>
                <w:szCs w:val="22"/>
                <w:lang w:val="es-ES_tradnl"/>
              </w:rPr>
            </w:pPr>
            <w:r w:rsidRPr="006474D5">
              <w:rPr>
                <w:rFonts w:ascii="Times New Roman" w:hAnsi="Times New Roman"/>
                <w:b/>
                <w:bCs/>
                <w:szCs w:val="22"/>
              </w:rPr>
              <w:t>I. Informations sur le poste</w:t>
            </w:r>
          </w:p>
        </w:tc>
        <w:tc>
          <w:tcPr>
            <w:tcW w:w="7380" w:type="dxa"/>
          </w:tcPr>
          <w:p w:rsidR="006474D5" w:rsidRPr="004F2CBA" w:rsidRDefault="006474D5" w:rsidP="002E0DE0">
            <w:pPr>
              <w:tabs>
                <w:tab w:val="center" w:pos="4153"/>
                <w:tab w:val="right" w:pos="8306"/>
              </w:tabs>
              <w:rPr>
                <w:rFonts w:ascii="Times New Roman" w:hAnsi="Times New Roman"/>
                <w:szCs w:val="22"/>
                <w:lang w:val="es-ES_tradnl"/>
              </w:rPr>
            </w:pPr>
          </w:p>
        </w:tc>
      </w:tr>
      <w:tr w:rsidR="006474D5" w:rsidRPr="006474D5" w:rsidTr="002E0DE0">
        <w:trPr>
          <w:trHeight w:val="1520"/>
        </w:trPr>
        <w:tc>
          <w:tcPr>
            <w:tcW w:w="2880" w:type="dxa"/>
            <w:gridSpan w:val="2"/>
          </w:tcPr>
          <w:p w:rsidR="006474D5" w:rsidRPr="00865A23" w:rsidRDefault="006474D5" w:rsidP="002E0DE0">
            <w:pPr>
              <w:rPr>
                <w:rFonts w:ascii="Times New Roman" w:hAnsi="Times New Roman"/>
              </w:rPr>
            </w:pPr>
            <w:r w:rsidRPr="006474D5">
              <w:rPr>
                <w:rFonts w:ascii="Times New Roman" w:hAnsi="Times New Roman"/>
                <w:szCs w:val="22"/>
              </w:rPr>
              <w:t>Intitulé du poste :</w:t>
            </w:r>
          </w:p>
          <w:p w:rsidR="006474D5" w:rsidRPr="00865A23" w:rsidRDefault="002E0DE0" w:rsidP="002E0DE0">
            <w:pPr>
              <w:rPr>
                <w:rFonts w:ascii="Times New Roman" w:hAnsi="Times New Roman"/>
              </w:rPr>
            </w:pPr>
            <w:r>
              <w:rPr>
                <w:rFonts w:ascii="Times New Roman" w:hAnsi="Times New Roman"/>
                <w:szCs w:val="22"/>
              </w:rPr>
              <w:t>Bureau :</w:t>
            </w:r>
          </w:p>
          <w:p w:rsidR="006474D5" w:rsidRPr="00865A23" w:rsidRDefault="006474D5" w:rsidP="002E0DE0">
            <w:pPr>
              <w:rPr>
                <w:rFonts w:ascii="Times New Roman" w:hAnsi="Times New Roman"/>
                <w:b/>
                <w:bCs/>
              </w:rPr>
            </w:pPr>
            <w:r w:rsidRPr="006474D5">
              <w:rPr>
                <w:rFonts w:ascii="Times New Roman" w:hAnsi="Times New Roman"/>
                <w:szCs w:val="22"/>
              </w:rPr>
              <w:t xml:space="preserve">Organisation : </w:t>
            </w:r>
          </w:p>
          <w:p w:rsidR="006474D5" w:rsidRPr="00865A23" w:rsidRDefault="002E0DE0" w:rsidP="002E0DE0">
            <w:pPr>
              <w:rPr>
                <w:rFonts w:ascii="Times New Roman" w:hAnsi="Times New Roman"/>
                <w:bCs/>
              </w:rPr>
            </w:pPr>
            <w:r>
              <w:rPr>
                <w:rFonts w:ascii="Times New Roman" w:hAnsi="Times New Roman"/>
                <w:szCs w:val="22"/>
              </w:rPr>
              <w:t xml:space="preserve">Durée de l'emploi : </w:t>
            </w:r>
          </w:p>
          <w:p w:rsidR="006474D5" w:rsidRPr="00865A23" w:rsidRDefault="006474D5" w:rsidP="002E0DE0">
            <w:pPr>
              <w:rPr>
                <w:rFonts w:ascii="Times New Roman" w:hAnsi="Times New Roman"/>
              </w:rPr>
            </w:pPr>
            <w:r w:rsidRPr="006474D5">
              <w:rPr>
                <w:rFonts w:ascii="Times New Roman" w:hAnsi="Times New Roman"/>
                <w:szCs w:val="22"/>
              </w:rPr>
              <w:t xml:space="preserve">Lieu d'affectation : </w:t>
            </w:r>
          </w:p>
          <w:p w:rsidR="006474D5" w:rsidRPr="00865A23" w:rsidRDefault="006474D5" w:rsidP="002E0DE0">
            <w:pPr>
              <w:tabs>
                <w:tab w:val="center" w:pos="4153"/>
                <w:tab w:val="right" w:pos="8306"/>
              </w:tabs>
              <w:rPr>
                <w:rFonts w:ascii="Times New Roman" w:hAnsi="Times New Roman"/>
              </w:rPr>
            </w:pPr>
          </w:p>
        </w:tc>
        <w:tc>
          <w:tcPr>
            <w:tcW w:w="7380" w:type="dxa"/>
          </w:tcPr>
          <w:p w:rsidR="006474D5" w:rsidRPr="00865A23" w:rsidRDefault="006474D5" w:rsidP="002E0DE0">
            <w:pPr>
              <w:tabs>
                <w:tab w:val="center" w:pos="4153"/>
                <w:tab w:val="right" w:pos="8306"/>
              </w:tabs>
              <w:rPr>
                <w:rFonts w:ascii="Times New Roman" w:hAnsi="Times New Roman"/>
                <w:bCs/>
              </w:rPr>
            </w:pPr>
            <w:r w:rsidRPr="006474D5">
              <w:rPr>
                <w:rFonts w:ascii="Times New Roman" w:hAnsi="Times New Roman"/>
                <w:szCs w:val="22"/>
              </w:rPr>
              <w:t>Chef de projet (Plein temps)</w:t>
            </w:r>
          </w:p>
          <w:p w:rsidR="006474D5" w:rsidRPr="00865A23" w:rsidRDefault="006474D5" w:rsidP="002E0DE0">
            <w:pPr>
              <w:tabs>
                <w:tab w:val="center" w:pos="4153"/>
                <w:tab w:val="right" w:pos="8306"/>
              </w:tabs>
              <w:rPr>
                <w:rFonts w:ascii="Times New Roman" w:hAnsi="Times New Roman"/>
              </w:rPr>
            </w:pPr>
            <w:r w:rsidRPr="006474D5">
              <w:rPr>
                <w:rFonts w:ascii="Times New Roman" w:hAnsi="Times New Roman"/>
                <w:szCs w:val="22"/>
              </w:rPr>
              <w:t>Unité de gestion du projet (PMU)</w:t>
            </w:r>
          </w:p>
          <w:p w:rsidR="006474D5" w:rsidRPr="00865A23" w:rsidRDefault="006474D5" w:rsidP="002E0DE0">
            <w:pPr>
              <w:tabs>
                <w:tab w:val="center" w:pos="4153"/>
                <w:tab w:val="right" w:pos="8306"/>
              </w:tabs>
              <w:rPr>
                <w:rFonts w:ascii="Times New Roman" w:hAnsi="Times New Roman"/>
                <w:bCs/>
                <w:szCs w:val="22"/>
              </w:rPr>
            </w:pPr>
            <w:r w:rsidRPr="006474D5">
              <w:rPr>
                <w:rFonts w:ascii="Times New Roman" w:hAnsi="Times New Roman"/>
                <w:szCs w:val="22"/>
              </w:rPr>
              <w:t xml:space="preserve">Ministère chargé de l'Environnement et des Eaux et Forêts (MEWF - Ministry of Environment, Water and Forests) </w:t>
            </w:r>
          </w:p>
          <w:p w:rsidR="006474D5" w:rsidRPr="00865A23" w:rsidRDefault="006474D5" w:rsidP="002E0DE0">
            <w:pPr>
              <w:tabs>
                <w:tab w:val="center" w:pos="4153"/>
                <w:tab w:val="right" w:pos="8306"/>
              </w:tabs>
              <w:rPr>
                <w:rFonts w:ascii="Times New Roman" w:hAnsi="Times New Roman"/>
                <w:bCs/>
              </w:rPr>
            </w:pPr>
            <w:r w:rsidRPr="006474D5">
              <w:rPr>
                <w:rFonts w:ascii="Times New Roman" w:hAnsi="Times New Roman"/>
                <w:szCs w:val="22"/>
              </w:rPr>
              <w:t xml:space="preserve">Un an avec possibilité de prolongation </w:t>
            </w:r>
          </w:p>
          <w:p w:rsidR="006474D5" w:rsidRPr="006474D5" w:rsidRDefault="006474D5" w:rsidP="002E0DE0">
            <w:pPr>
              <w:tabs>
                <w:tab w:val="center" w:pos="4153"/>
                <w:tab w:val="right" w:pos="8306"/>
              </w:tabs>
              <w:rPr>
                <w:rFonts w:ascii="Times New Roman" w:hAnsi="Times New Roman"/>
                <w:lang w:val="en-GB"/>
              </w:rPr>
            </w:pPr>
            <w:r w:rsidRPr="006474D5">
              <w:rPr>
                <w:rFonts w:ascii="Times New Roman" w:hAnsi="Times New Roman"/>
                <w:szCs w:val="22"/>
              </w:rPr>
              <w:t>Conakry, Guinée</w:t>
            </w:r>
          </w:p>
        </w:tc>
      </w:tr>
      <w:tr w:rsidR="006474D5" w:rsidRPr="006474D5" w:rsidTr="002E0DE0">
        <w:tc>
          <w:tcPr>
            <w:tcW w:w="10260" w:type="dxa"/>
            <w:gridSpan w:val="3"/>
            <w:shd w:val="clear" w:color="auto" w:fill="E0E0E0"/>
          </w:tcPr>
          <w:p w:rsidR="006474D5" w:rsidRPr="006474D5" w:rsidRDefault="006474D5" w:rsidP="002E0DE0">
            <w:pPr>
              <w:rPr>
                <w:rFonts w:ascii="Times New Roman" w:hAnsi="Times New Roman"/>
                <w:b/>
                <w:lang w:val="en-GB"/>
              </w:rPr>
            </w:pPr>
            <w:r w:rsidRPr="006474D5">
              <w:rPr>
                <w:rFonts w:ascii="Times New Roman" w:hAnsi="Times New Roman"/>
                <w:b/>
                <w:bCs/>
                <w:szCs w:val="22"/>
              </w:rPr>
              <w:t>II. Tâches</w:t>
            </w:r>
          </w:p>
        </w:tc>
      </w:tr>
      <w:tr w:rsidR="006474D5" w:rsidRPr="006474D5" w:rsidTr="002E0DE0">
        <w:tc>
          <w:tcPr>
            <w:tcW w:w="10260" w:type="dxa"/>
            <w:gridSpan w:val="3"/>
          </w:tcPr>
          <w:p w:rsidR="006474D5" w:rsidRPr="006474D5" w:rsidRDefault="006474D5" w:rsidP="002E0DE0">
            <w:pPr>
              <w:rPr>
                <w:rFonts w:ascii="Times New Roman" w:hAnsi="Times New Roman"/>
                <w:lang w:val="en-GB"/>
              </w:rPr>
            </w:pPr>
          </w:p>
          <w:p w:rsidR="006474D5" w:rsidRPr="00865A23" w:rsidRDefault="006474D5" w:rsidP="006474D5">
            <w:pPr>
              <w:numPr>
                <w:ilvl w:val="0"/>
                <w:numId w:val="50"/>
              </w:numPr>
              <w:spacing w:after="0"/>
              <w:rPr>
                <w:rFonts w:ascii="Times New Roman" w:hAnsi="Times New Roman"/>
              </w:rPr>
            </w:pPr>
            <w:r w:rsidRPr="006474D5">
              <w:rPr>
                <w:rFonts w:ascii="Times New Roman" w:hAnsi="Times New Roman"/>
                <w:szCs w:val="22"/>
              </w:rPr>
              <w:t>Assurer la direction, la gestion et la coordination des activités quotidiennes de la PMU devant être constituée au sein du MEWF, y compris l'administration, la comptabilité, l'expertise technique et l'exécution effective du projet comme la communication des rapports y afférents ;</w:t>
            </w:r>
          </w:p>
          <w:p w:rsidR="006474D5" w:rsidRPr="00865A23" w:rsidRDefault="006474D5" w:rsidP="006474D5">
            <w:pPr>
              <w:numPr>
                <w:ilvl w:val="0"/>
                <w:numId w:val="41"/>
              </w:numPr>
              <w:spacing w:after="0"/>
              <w:ind w:left="720"/>
              <w:rPr>
                <w:rFonts w:ascii="Times New Roman" w:hAnsi="Times New Roman"/>
              </w:rPr>
            </w:pPr>
            <w:r w:rsidRPr="006474D5">
              <w:rPr>
                <w:rFonts w:ascii="Times New Roman" w:hAnsi="Times New Roman"/>
                <w:szCs w:val="22"/>
              </w:rPr>
              <w:t>Conduire le développement de l'élaboration du projet, y compris la préparation des modalités des missions des consultants et des sous-traitants, l'identification et la sélection des sous-traitants/consultants nationaux et internationaux, l'estimation des coûts, la fixation des calendriers, la conclusion des contrats et la communication de rapports sur les activités et le budget du projet ;</w:t>
            </w:r>
          </w:p>
          <w:p w:rsidR="006474D5" w:rsidRPr="00865A23" w:rsidRDefault="006474D5" w:rsidP="006474D5">
            <w:pPr>
              <w:numPr>
                <w:ilvl w:val="0"/>
                <w:numId w:val="41"/>
              </w:numPr>
              <w:spacing w:after="0"/>
              <w:ind w:left="720"/>
              <w:rPr>
                <w:rFonts w:ascii="Times New Roman" w:hAnsi="Times New Roman"/>
              </w:rPr>
            </w:pPr>
            <w:r w:rsidRPr="006474D5">
              <w:rPr>
                <w:rFonts w:ascii="Times New Roman" w:hAnsi="Times New Roman"/>
                <w:szCs w:val="22"/>
              </w:rPr>
              <w:t>Assurer le contrôle et le suivi de la progression des prestations par les consultants, sous-traitants, etc.</w:t>
            </w:r>
          </w:p>
          <w:p w:rsidR="006474D5" w:rsidRPr="00865A23" w:rsidRDefault="006474D5" w:rsidP="006474D5">
            <w:pPr>
              <w:numPr>
                <w:ilvl w:val="0"/>
                <w:numId w:val="41"/>
              </w:numPr>
              <w:spacing w:after="0"/>
              <w:ind w:left="720"/>
              <w:rPr>
                <w:rFonts w:ascii="Times New Roman" w:hAnsi="Times New Roman"/>
              </w:rPr>
            </w:pPr>
            <w:r w:rsidRPr="006474D5">
              <w:rPr>
                <w:rFonts w:ascii="Times New Roman" w:hAnsi="Times New Roman"/>
                <w:szCs w:val="22"/>
              </w:rPr>
              <w:t xml:space="preserve">Coordonner les activités des consultants, notamment la gestion contractuelle, la direction et la supervision des opérations sur le terrain, le soutien logistique, la revue des produits/rapports techniques, la mesure/l'évaluation des réalisations du projet et le contrôle des coûts ; </w:t>
            </w:r>
          </w:p>
          <w:p w:rsidR="006474D5" w:rsidRPr="00865A23" w:rsidRDefault="006474D5" w:rsidP="006474D5">
            <w:pPr>
              <w:numPr>
                <w:ilvl w:val="0"/>
                <w:numId w:val="41"/>
              </w:numPr>
              <w:spacing w:after="0"/>
              <w:ind w:left="720"/>
              <w:rPr>
                <w:rFonts w:ascii="Times New Roman" w:hAnsi="Times New Roman"/>
              </w:rPr>
            </w:pPr>
            <w:r w:rsidRPr="006474D5">
              <w:rPr>
                <w:rFonts w:ascii="Times New Roman" w:hAnsi="Times New Roman"/>
                <w:szCs w:val="22"/>
              </w:rPr>
              <w:t xml:space="preserve">Contribuer aux activités d'élaboration, de supervision et de sensibilisation du projet ;  </w:t>
            </w:r>
          </w:p>
          <w:p w:rsidR="006474D5" w:rsidRPr="00865A23" w:rsidRDefault="006474D5" w:rsidP="006474D5">
            <w:pPr>
              <w:numPr>
                <w:ilvl w:val="0"/>
                <w:numId w:val="41"/>
              </w:numPr>
              <w:spacing w:after="0"/>
              <w:ind w:left="720"/>
              <w:rPr>
                <w:rFonts w:ascii="Times New Roman" w:hAnsi="Times New Roman"/>
              </w:rPr>
            </w:pPr>
            <w:r w:rsidRPr="006474D5">
              <w:rPr>
                <w:rFonts w:ascii="Times New Roman" w:hAnsi="Times New Roman"/>
                <w:szCs w:val="22"/>
              </w:rPr>
              <w:t>Apporter un soutien technique lors des discussions politiques sur le biogaz et son développement / son utilisation dans le pays ;</w:t>
            </w:r>
          </w:p>
          <w:p w:rsidR="006474D5" w:rsidRPr="00865A23" w:rsidRDefault="006474D5" w:rsidP="006474D5">
            <w:pPr>
              <w:numPr>
                <w:ilvl w:val="0"/>
                <w:numId w:val="41"/>
              </w:numPr>
              <w:spacing w:after="0"/>
              <w:ind w:left="720"/>
              <w:rPr>
                <w:rFonts w:ascii="Times New Roman" w:hAnsi="Times New Roman"/>
              </w:rPr>
            </w:pPr>
            <w:r w:rsidRPr="006474D5">
              <w:rPr>
                <w:rFonts w:ascii="Times New Roman" w:hAnsi="Times New Roman"/>
                <w:szCs w:val="22"/>
              </w:rPr>
              <w:t>Agir en qualité de liaison/facilitateur auprès des différentes parties prenantes, notamment le secteur privé, les partenaires internationaux et nationaux ;</w:t>
            </w:r>
          </w:p>
          <w:p w:rsidR="006474D5" w:rsidRPr="004F2CBA" w:rsidRDefault="006474D5" w:rsidP="006474D5">
            <w:pPr>
              <w:numPr>
                <w:ilvl w:val="0"/>
                <w:numId w:val="41"/>
              </w:numPr>
              <w:spacing w:after="0"/>
              <w:ind w:left="720"/>
              <w:rPr>
                <w:rFonts w:ascii="Times New Roman" w:hAnsi="Times New Roman"/>
                <w:lang w:val="es-ES_tradnl"/>
              </w:rPr>
            </w:pPr>
            <w:r w:rsidRPr="006474D5">
              <w:rPr>
                <w:rFonts w:ascii="Times New Roman" w:hAnsi="Times New Roman"/>
                <w:szCs w:val="22"/>
              </w:rPr>
              <w:t>Assumer la responsabilité de la qualité et du calendrier des réalisations du projet ;</w:t>
            </w:r>
          </w:p>
          <w:p w:rsidR="006474D5" w:rsidRPr="004F2CBA" w:rsidRDefault="006474D5" w:rsidP="006474D5">
            <w:pPr>
              <w:numPr>
                <w:ilvl w:val="0"/>
                <w:numId w:val="40"/>
              </w:numPr>
              <w:tabs>
                <w:tab w:val="left" w:pos="720"/>
              </w:tabs>
              <w:spacing w:after="0"/>
              <w:rPr>
                <w:rFonts w:ascii="Times New Roman" w:hAnsi="Times New Roman"/>
                <w:lang w:val="es-ES_tradnl"/>
              </w:rPr>
            </w:pPr>
            <w:r w:rsidRPr="006474D5">
              <w:rPr>
                <w:rFonts w:ascii="Times New Roman" w:hAnsi="Times New Roman"/>
                <w:szCs w:val="22"/>
              </w:rPr>
              <w:t>Établir et maintenir des relations et agir en tant que cellule de coordination auprès du Bureau Pays du PNUD, afin de veiller à ce que l'ensemble des questions de programmation, financières</w:t>
            </w:r>
            <w:r w:rsidR="00C77FA3">
              <w:rPr>
                <w:rFonts w:ascii="Times New Roman" w:hAnsi="Times New Roman"/>
                <w:szCs w:val="22"/>
              </w:rPr>
              <w:t xml:space="preserve"> </w:t>
            </w:r>
            <w:r w:rsidRPr="006474D5">
              <w:rPr>
                <w:rFonts w:ascii="Times New Roman" w:hAnsi="Times New Roman"/>
                <w:szCs w:val="22"/>
              </w:rPr>
              <w:t>et administratives relatives au projet bénéficient d'une gestion transparente, diligente et efficace, dans le respect des règles et réglementations du PNUD.</w:t>
            </w:r>
          </w:p>
          <w:p w:rsidR="006474D5" w:rsidRPr="00865A23" w:rsidRDefault="006474D5" w:rsidP="006474D5">
            <w:pPr>
              <w:numPr>
                <w:ilvl w:val="0"/>
                <w:numId w:val="40"/>
              </w:numPr>
              <w:tabs>
                <w:tab w:val="left" w:pos="720"/>
              </w:tabs>
              <w:spacing w:after="0"/>
              <w:rPr>
                <w:rFonts w:ascii="Times New Roman" w:hAnsi="Times New Roman"/>
              </w:rPr>
            </w:pPr>
            <w:r w:rsidRPr="006474D5">
              <w:rPr>
                <w:rFonts w:ascii="Times New Roman" w:hAnsi="Times New Roman"/>
                <w:szCs w:val="22"/>
              </w:rPr>
              <w:t>Entreprendre d'autres tâches de gestion contribuant à l'exécution efficace du projet.</w:t>
            </w:r>
          </w:p>
          <w:p w:rsidR="006474D5" w:rsidRPr="00865A23" w:rsidRDefault="006474D5" w:rsidP="002E0DE0">
            <w:pPr>
              <w:ind w:left="720"/>
              <w:rPr>
                <w:rFonts w:ascii="Times New Roman" w:hAnsi="Times New Roman"/>
              </w:rPr>
            </w:pPr>
          </w:p>
        </w:tc>
      </w:tr>
      <w:tr w:rsidR="006474D5" w:rsidRPr="006474D5" w:rsidTr="002E0DE0">
        <w:tc>
          <w:tcPr>
            <w:tcW w:w="10260" w:type="dxa"/>
            <w:gridSpan w:val="3"/>
            <w:shd w:val="clear" w:color="auto" w:fill="E0E0E0"/>
          </w:tcPr>
          <w:p w:rsidR="006474D5" w:rsidRPr="006474D5" w:rsidRDefault="006474D5" w:rsidP="002E0DE0">
            <w:pPr>
              <w:rPr>
                <w:rFonts w:ascii="Times New Roman" w:hAnsi="Times New Roman"/>
                <w:bCs/>
                <w:lang w:val="en-GB"/>
              </w:rPr>
            </w:pPr>
            <w:r w:rsidRPr="006474D5">
              <w:rPr>
                <w:rFonts w:ascii="Times New Roman" w:hAnsi="Times New Roman"/>
                <w:b/>
                <w:bCs/>
                <w:szCs w:val="22"/>
              </w:rPr>
              <w:t>III. Qualifications et expérience</w:t>
            </w:r>
          </w:p>
        </w:tc>
      </w:tr>
      <w:tr w:rsidR="006474D5" w:rsidRPr="006474D5" w:rsidTr="002E0DE0">
        <w:trPr>
          <w:trHeight w:val="230"/>
        </w:trPr>
        <w:tc>
          <w:tcPr>
            <w:tcW w:w="2520" w:type="dxa"/>
          </w:tcPr>
          <w:p w:rsidR="006474D5" w:rsidRPr="006474D5" w:rsidRDefault="006474D5" w:rsidP="002E0DE0">
            <w:pPr>
              <w:rPr>
                <w:rFonts w:ascii="Times New Roman" w:hAnsi="Times New Roman"/>
                <w:lang w:val="en-GB"/>
              </w:rPr>
            </w:pPr>
          </w:p>
          <w:p w:rsidR="006474D5" w:rsidRPr="006474D5" w:rsidRDefault="006474D5" w:rsidP="002E0DE0">
            <w:pPr>
              <w:rPr>
                <w:rFonts w:ascii="Times New Roman" w:hAnsi="Times New Roman"/>
                <w:lang w:val="en-GB"/>
              </w:rPr>
            </w:pPr>
            <w:r w:rsidRPr="006474D5">
              <w:rPr>
                <w:rFonts w:ascii="Times New Roman" w:hAnsi="Times New Roman"/>
                <w:szCs w:val="22"/>
              </w:rPr>
              <w:t>Formation :</w:t>
            </w:r>
          </w:p>
        </w:tc>
        <w:tc>
          <w:tcPr>
            <w:tcW w:w="7740" w:type="dxa"/>
            <w:gridSpan w:val="2"/>
          </w:tcPr>
          <w:p w:rsidR="006474D5" w:rsidRPr="00865A23" w:rsidRDefault="006474D5" w:rsidP="006474D5">
            <w:pPr>
              <w:numPr>
                <w:ilvl w:val="0"/>
                <w:numId w:val="44"/>
              </w:numPr>
              <w:tabs>
                <w:tab w:val="left" w:pos="72"/>
              </w:tabs>
              <w:spacing w:after="0"/>
              <w:ind w:left="342" w:hanging="270"/>
              <w:jc w:val="left"/>
              <w:rPr>
                <w:rFonts w:ascii="Times New Roman" w:hAnsi="Times New Roman"/>
                <w:i/>
                <w:iCs/>
              </w:rPr>
            </w:pPr>
            <w:r w:rsidRPr="006474D5">
              <w:rPr>
                <w:rFonts w:ascii="Times New Roman" w:hAnsi="Times New Roman"/>
                <w:szCs w:val="22"/>
              </w:rPr>
              <w:t>Diplôme de maîtrise ou équivalent en ingénierie, économie, développement international, sciences sociales, administration publique ou autre domaine pertinent.</w:t>
            </w:r>
          </w:p>
        </w:tc>
      </w:tr>
      <w:tr w:rsidR="006474D5" w:rsidRPr="006474D5" w:rsidTr="002E0DE0">
        <w:trPr>
          <w:trHeight w:val="230"/>
        </w:trPr>
        <w:tc>
          <w:tcPr>
            <w:tcW w:w="2520" w:type="dxa"/>
          </w:tcPr>
          <w:p w:rsidR="006474D5" w:rsidRPr="00865A23" w:rsidRDefault="006474D5" w:rsidP="002E0DE0">
            <w:pPr>
              <w:rPr>
                <w:rFonts w:ascii="Times New Roman" w:hAnsi="Times New Roman"/>
              </w:rPr>
            </w:pPr>
          </w:p>
          <w:p w:rsidR="006474D5" w:rsidRPr="006474D5" w:rsidRDefault="006474D5" w:rsidP="002E0DE0">
            <w:pPr>
              <w:rPr>
                <w:rFonts w:ascii="Times New Roman" w:hAnsi="Times New Roman"/>
                <w:lang w:val="en-GB"/>
              </w:rPr>
            </w:pPr>
            <w:r w:rsidRPr="006474D5">
              <w:rPr>
                <w:rFonts w:ascii="Times New Roman" w:hAnsi="Times New Roman"/>
                <w:szCs w:val="22"/>
              </w:rPr>
              <w:t>Expérience :</w:t>
            </w:r>
          </w:p>
        </w:tc>
        <w:tc>
          <w:tcPr>
            <w:tcW w:w="7740" w:type="dxa"/>
            <w:gridSpan w:val="2"/>
          </w:tcPr>
          <w:p w:rsidR="006474D5" w:rsidRPr="004F2CBA" w:rsidRDefault="006474D5" w:rsidP="006474D5">
            <w:pPr>
              <w:numPr>
                <w:ilvl w:val="0"/>
                <w:numId w:val="42"/>
              </w:numPr>
              <w:tabs>
                <w:tab w:val="left" w:pos="72"/>
                <w:tab w:val="left" w:pos="312"/>
              </w:tabs>
              <w:spacing w:after="0"/>
              <w:ind w:left="342" w:hanging="270"/>
              <w:jc w:val="left"/>
              <w:rPr>
                <w:rFonts w:ascii="Times New Roman" w:hAnsi="Times New Roman"/>
                <w:iCs/>
                <w:lang w:val="es-ES_tradnl"/>
              </w:rPr>
            </w:pPr>
            <w:r w:rsidRPr="006474D5">
              <w:rPr>
                <w:rFonts w:ascii="Times New Roman" w:hAnsi="Times New Roman"/>
                <w:szCs w:val="22"/>
              </w:rPr>
              <w:t>Un minimum de 5 ans d'expérience en matière de gestion, de préférenc</w:t>
            </w:r>
            <w:r w:rsidR="00221B25">
              <w:rPr>
                <w:rFonts w:ascii="Times New Roman" w:hAnsi="Times New Roman"/>
                <w:szCs w:val="22"/>
              </w:rPr>
              <w:t>e dans le secteur de l'énergie.</w:t>
            </w:r>
          </w:p>
          <w:p w:rsidR="006474D5" w:rsidRPr="004F2CBA" w:rsidRDefault="006474D5" w:rsidP="006474D5">
            <w:pPr>
              <w:numPr>
                <w:ilvl w:val="0"/>
                <w:numId w:val="42"/>
              </w:numPr>
              <w:tabs>
                <w:tab w:val="left" w:pos="312"/>
              </w:tabs>
              <w:spacing w:after="0"/>
              <w:ind w:left="342" w:hanging="270"/>
              <w:jc w:val="left"/>
              <w:rPr>
                <w:rFonts w:ascii="Times New Roman" w:hAnsi="Times New Roman"/>
                <w:iCs/>
                <w:lang w:val="es-ES_tradnl"/>
              </w:rPr>
            </w:pPr>
            <w:r w:rsidRPr="006474D5">
              <w:rPr>
                <w:rFonts w:ascii="Times New Roman" w:hAnsi="Times New Roman"/>
                <w:szCs w:val="22"/>
              </w:rPr>
              <w:t>Aptitudes avérées à la rédaction, la révision et la production de propositions écrites et de rapports axés sur les résultats.</w:t>
            </w:r>
          </w:p>
          <w:p w:rsidR="006474D5" w:rsidRPr="004F2CBA" w:rsidRDefault="006474D5" w:rsidP="006474D5">
            <w:pPr>
              <w:numPr>
                <w:ilvl w:val="0"/>
                <w:numId w:val="42"/>
              </w:numPr>
              <w:tabs>
                <w:tab w:val="left" w:pos="312"/>
              </w:tabs>
              <w:spacing w:after="0"/>
              <w:ind w:left="342" w:hanging="270"/>
              <w:jc w:val="left"/>
              <w:rPr>
                <w:rFonts w:ascii="Times New Roman" w:hAnsi="Times New Roman"/>
                <w:iCs/>
                <w:lang w:val="es-ES_tradnl"/>
              </w:rPr>
            </w:pPr>
            <w:r w:rsidRPr="006474D5">
              <w:rPr>
                <w:rFonts w:ascii="Times New Roman" w:hAnsi="Times New Roman"/>
                <w:szCs w:val="22"/>
              </w:rPr>
              <w:t xml:space="preserve">Expérience établie d'une collaboration avec un gouvernement, la société civile, les organisations internationales ou les donateurs, associée à une connaissance de </w:t>
            </w:r>
            <w:r w:rsidRPr="006474D5">
              <w:rPr>
                <w:rFonts w:ascii="Times New Roman" w:hAnsi="Times New Roman"/>
                <w:szCs w:val="22"/>
              </w:rPr>
              <w:lastRenderedPageBreak/>
              <w:t>l'analyse économique et financière ainsi que des cadres politiques, réglementaires et institutionnels.</w:t>
            </w:r>
          </w:p>
          <w:p w:rsidR="006474D5" w:rsidRPr="004F2CBA" w:rsidRDefault="006474D5" w:rsidP="006474D5">
            <w:pPr>
              <w:numPr>
                <w:ilvl w:val="0"/>
                <w:numId w:val="42"/>
              </w:numPr>
              <w:tabs>
                <w:tab w:val="left" w:pos="312"/>
              </w:tabs>
              <w:spacing w:after="0"/>
              <w:ind w:left="319" w:hanging="270"/>
              <w:jc w:val="left"/>
              <w:rPr>
                <w:rFonts w:ascii="Times New Roman" w:hAnsi="Times New Roman"/>
                <w:iCs/>
                <w:lang w:val="es-ES_tradnl"/>
              </w:rPr>
            </w:pPr>
            <w:r w:rsidRPr="006474D5">
              <w:rPr>
                <w:rFonts w:ascii="Times New Roman" w:hAnsi="Times New Roman"/>
                <w:szCs w:val="22"/>
              </w:rPr>
              <w:t>Une bonne connaissance et une expérience dans le domaine des modalités opérationnelles et des questions de changement climatique propres au FEM, de même qu'une compréhension des procédures du PNUD-FEM seraient un avantage ;</w:t>
            </w:r>
          </w:p>
          <w:p w:rsidR="006474D5" w:rsidRPr="00865A23" w:rsidRDefault="006474D5" w:rsidP="006474D5">
            <w:pPr>
              <w:numPr>
                <w:ilvl w:val="0"/>
                <w:numId w:val="42"/>
              </w:numPr>
              <w:tabs>
                <w:tab w:val="left" w:pos="72"/>
                <w:tab w:val="left" w:pos="312"/>
              </w:tabs>
              <w:spacing w:after="0"/>
              <w:ind w:left="342" w:hanging="270"/>
              <w:jc w:val="left"/>
              <w:rPr>
                <w:rFonts w:ascii="Times New Roman" w:hAnsi="Times New Roman"/>
                <w:iCs/>
              </w:rPr>
            </w:pPr>
            <w:r w:rsidRPr="006474D5">
              <w:rPr>
                <w:rFonts w:ascii="Times New Roman" w:hAnsi="Times New Roman"/>
                <w:szCs w:val="22"/>
              </w:rPr>
              <w:t>Connaissance des règles, règlements et procédures administratives du PNUD ;</w:t>
            </w:r>
          </w:p>
          <w:p w:rsidR="006474D5" w:rsidRPr="00865A23" w:rsidRDefault="006474D5" w:rsidP="006474D5">
            <w:pPr>
              <w:numPr>
                <w:ilvl w:val="0"/>
                <w:numId w:val="42"/>
              </w:numPr>
              <w:tabs>
                <w:tab w:val="left" w:pos="72"/>
                <w:tab w:val="left" w:pos="312"/>
              </w:tabs>
              <w:spacing w:after="0"/>
              <w:ind w:left="342" w:hanging="270"/>
              <w:jc w:val="left"/>
              <w:rPr>
                <w:rFonts w:ascii="Times New Roman" w:hAnsi="Times New Roman"/>
                <w:iCs/>
              </w:rPr>
            </w:pPr>
            <w:r w:rsidRPr="006474D5">
              <w:rPr>
                <w:rFonts w:ascii="Times New Roman" w:hAnsi="Times New Roman"/>
                <w:szCs w:val="22"/>
              </w:rPr>
              <w:t>Connaissance et expérience antérieures des facteurs politiques, sociaux et environnementaux ainsi que des problèmes liés au développement énergétique et à l'atténuation du changement climatique dans les pays africains ;</w:t>
            </w:r>
          </w:p>
          <w:p w:rsidR="006474D5" w:rsidRPr="00865A23" w:rsidRDefault="006474D5" w:rsidP="006474D5">
            <w:pPr>
              <w:numPr>
                <w:ilvl w:val="0"/>
                <w:numId w:val="42"/>
              </w:numPr>
              <w:tabs>
                <w:tab w:val="left" w:pos="312"/>
              </w:tabs>
              <w:spacing w:after="0"/>
              <w:ind w:left="342" w:hanging="270"/>
              <w:jc w:val="left"/>
              <w:rPr>
                <w:rFonts w:ascii="Times New Roman" w:hAnsi="Times New Roman"/>
                <w:b/>
                <w:iCs/>
              </w:rPr>
            </w:pPr>
            <w:r w:rsidRPr="006474D5">
              <w:rPr>
                <w:rFonts w:ascii="Times New Roman" w:hAnsi="Times New Roman"/>
                <w:szCs w:val="22"/>
              </w:rPr>
              <w:t>Expérience en matière informatique et dans l'utilisation de programmes logiciels de bureau (MS Word, Excel, etc.)</w:t>
            </w:r>
          </w:p>
        </w:tc>
      </w:tr>
      <w:tr w:rsidR="006474D5" w:rsidRPr="006474D5" w:rsidTr="002E0DE0">
        <w:trPr>
          <w:trHeight w:val="230"/>
        </w:trPr>
        <w:tc>
          <w:tcPr>
            <w:tcW w:w="2520" w:type="dxa"/>
          </w:tcPr>
          <w:p w:rsidR="006474D5" w:rsidRPr="00865A23" w:rsidRDefault="006474D5" w:rsidP="002E0DE0">
            <w:pPr>
              <w:rPr>
                <w:rFonts w:ascii="Times New Roman" w:hAnsi="Times New Roman"/>
              </w:rPr>
            </w:pPr>
          </w:p>
          <w:p w:rsidR="006474D5" w:rsidRPr="006474D5" w:rsidRDefault="006474D5" w:rsidP="002E0DE0">
            <w:pPr>
              <w:rPr>
                <w:rFonts w:ascii="Times New Roman" w:hAnsi="Times New Roman"/>
                <w:lang w:val="en-GB"/>
              </w:rPr>
            </w:pPr>
            <w:r w:rsidRPr="006474D5">
              <w:rPr>
                <w:rFonts w:ascii="Times New Roman" w:hAnsi="Times New Roman"/>
                <w:szCs w:val="22"/>
              </w:rPr>
              <w:t>Langues requises :</w:t>
            </w:r>
          </w:p>
        </w:tc>
        <w:tc>
          <w:tcPr>
            <w:tcW w:w="7740" w:type="dxa"/>
            <w:gridSpan w:val="2"/>
          </w:tcPr>
          <w:p w:rsidR="006474D5" w:rsidRPr="006474D5" w:rsidRDefault="006474D5" w:rsidP="002E0DE0">
            <w:pPr>
              <w:tabs>
                <w:tab w:val="left" w:pos="312"/>
              </w:tabs>
              <w:ind w:left="312"/>
              <w:rPr>
                <w:rFonts w:ascii="Times New Roman" w:hAnsi="Times New Roman"/>
                <w:iCs/>
                <w:lang w:val="en-GB"/>
              </w:rPr>
            </w:pPr>
          </w:p>
          <w:p w:rsidR="006474D5" w:rsidRPr="00865A23" w:rsidRDefault="006474D5" w:rsidP="006474D5">
            <w:pPr>
              <w:numPr>
                <w:ilvl w:val="0"/>
                <w:numId w:val="43"/>
              </w:numPr>
              <w:tabs>
                <w:tab w:val="left" w:pos="312"/>
              </w:tabs>
              <w:spacing w:after="0"/>
              <w:ind w:left="342" w:hanging="270"/>
              <w:jc w:val="left"/>
              <w:rPr>
                <w:rFonts w:ascii="Times New Roman" w:hAnsi="Times New Roman"/>
                <w:iCs/>
              </w:rPr>
            </w:pPr>
            <w:r w:rsidRPr="006474D5">
              <w:rPr>
                <w:rFonts w:ascii="Times New Roman" w:hAnsi="Times New Roman"/>
                <w:szCs w:val="22"/>
              </w:rPr>
              <w:t xml:space="preserve">Français et anglais excellents, tant à l'écrit qu'à l'oral.  </w:t>
            </w:r>
          </w:p>
        </w:tc>
      </w:tr>
    </w:tbl>
    <w:p w:rsidR="006474D5" w:rsidRPr="00865A23" w:rsidRDefault="006474D5" w:rsidP="006474D5">
      <w:pPr>
        <w:ind w:right="-540"/>
        <w:rPr>
          <w:rFonts w:ascii="Times New Roman" w:hAnsi="Times New Roman"/>
          <w:iCs/>
          <w:szCs w:val="22"/>
        </w:rPr>
      </w:pPr>
    </w:p>
    <w:p w:rsidR="006474D5" w:rsidRPr="006474D5" w:rsidRDefault="006474D5" w:rsidP="006474D5">
      <w:pPr>
        <w:rPr>
          <w:rFonts w:ascii="Times New Roman" w:hAnsi="Times New Roman"/>
          <w:iCs/>
          <w:szCs w:val="22"/>
          <w:lang w:val="en-GB"/>
        </w:rPr>
      </w:pPr>
      <w:r w:rsidRPr="006474D5">
        <w:rPr>
          <w:rFonts w:ascii="Times New Roman" w:hAnsi="Times New Roman"/>
          <w:b/>
          <w:bCs/>
          <w:szCs w:val="22"/>
        </w:rPr>
        <w:t>2. Assistant de projet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930"/>
      </w:tblGrid>
      <w:tr w:rsidR="006474D5" w:rsidRPr="006474D5" w:rsidTr="002E0DE0">
        <w:tc>
          <w:tcPr>
            <w:tcW w:w="10260" w:type="dxa"/>
            <w:gridSpan w:val="2"/>
            <w:shd w:val="clear" w:color="auto" w:fill="E0E0E0"/>
          </w:tcPr>
          <w:p w:rsidR="006474D5" w:rsidRPr="004F2CBA" w:rsidRDefault="006474D5" w:rsidP="002E0DE0">
            <w:pPr>
              <w:rPr>
                <w:rFonts w:ascii="Times New Roman" w:hAnsi="Times New Roman"/>
                <w:lang w:val="es-ES_tradnl"/>
              </w:rPr>
            </w:pPr>
          </w:p>
          <w:p w:rsidR="006474D5" w:rsidRPr="004F2CBA" w:rsidRDefault="006474D5" w:rsidP="002E0DE0">
            <w:pPr>
              <w:rPr>
                <w:rFonts w:ascii="Times New Roman" w:hAnsi="Times New Roman"/>
                <w:b/>
                <w:bCs/>
                <w:lang w:val="es-ES_tradnl"/>
              </w:rPr>
            </w:pPr>
            <w:r w:rsidRPr="006474D5">
              <w:rPr>
                <w:rFonts w:ascii="Times New Roman" w:hAnsi="Times New Roman"/>
                <w:b/>
                <w:bCs/>
                <w:szCs w:val="22"/>
              </w:rPr>
              <w:t xml:space="preserve">I. Informations sur le poste </w:t>
            </w:r>
          </w:p>
        </w:tc>
      </w:tr>
      <w:tr w:rsidR="006474D5" w:rsidRPr="006474D5" w:rsidTr="002E0DE0">
        <w:trPr>
          <w:cantSplit/>
          <w:trHeight w:val="1475"/>
        </w:trPr>
        <w:tc>
          <w:tcPr>
            <w:tcW w:w="3330" w:type="dxa"/>
            <w:tcBorders>
              <w:right w:val="nil"/>
            </w:tcBorders>
          </w:tcPr>
          <w:p w:rsidR="006474D5" w:rsidRPr="00865A23" w:rsidRDefault="00221B25" w:rsidP="002E0DE0">
            <w:pPr>
              <w:rPr>
                <w:rFonts w:ascii="Times New Roman" w:hAnsi="Times New Roman"/>
              </w:rPr>
            </w:pPr>
            <w:r>
              <w:rPr>
                <w:rFonts w:ascii="Times New Roman" w:hAnsi="Times New Roman"/>
                <w:szCs w:val="22"/>
              </w:rPr>
              <w:t xml:space="preserve">Intitulé du poste : </w:t>
            </w:r>
          </w:p>
          <w:p w:rsidR="006474D5" w:rsidRPr="00865A23" w:rsidRDefault="006474D5" w:rsidP="002E0DE0">
            <w:pPr>
              <w:rPr>
                <w:rFonts w:ascii="Times New Roman" w:hAnsi="Times New Roman"/>
              </w:rPr>
            </w:pPr>
            <w:r w:rsidRPr="006474D5">
              <w:rPr>
                <w:rFonts w:ascii="Times New Roman" w:hAnsi="Times New Roman"/>
                <w:szCs w:val="22"/>
              </w:rPr>
              <w:t>Bureau :</w:t>
            </w:r>
          </w:p>
          <w:p w:rsidR="006474D5" w:rsidRPr="00865A23" w:rsidRDefault="006474D5" w:rsidP="002E0DE0">
            <w:pPr>
              <w:rPr>
                <w:rFonts w:ascii="Times New Roman" w:hAnsi="Times New Roman"/>
              </w:rPr>
            </w:pPr>
            <w:r w:rsidRPr="006474D5">
              <w:rPr>
                <w:rFonts w:ascii="Times New Roman" w:hAnsi="Times New Roman"/>
                <w:szCs w:val="22"/>
              </w:rPr>
              <w:t xml:space="preserve">Organisation : </w:t>
            </w:r>
          </w:p>
          <w:p w:rsidR="006474D5" w:rsidRPr="00865A23" w:rsidRDefault="00221B25" w:rsidP="002E0DE0">
            <w:pPr>
              <w:rPr>
                <w:rFonts w:ascii="Times New Roman" w:hAnsi="Times New Roman"/>
                <w:bCs/>
              </w:rPr>
            </w:pPr>
            <w:r>
              <w:rPr>
                <w:rFonts w:ascii="Times New Roman" w:hAnsi="Times New Roman"/>
                <w:szCs w:val="22"/>
              </w:rPr>
              <w:t xml:space="preserve">Durée de l'emploi : </w:t>
            </w:r>
          </w:p>
          <w:p w:rsidR="006474D5" w:rsidRPr="00865A23" w:rsidRDefault="006474D5" w:rsidP="002E0DE0">
            <w:pPr>
              <w:rPr>
                <w:rFonts w:ascii="Times New Roman" w:hAnsi="Times New Roman"/>
              </w:rPr>
            </w:pPr>
            <w:r w:rsidRPr="006474D5">
              <w:rPr>
                <w:rFonts w:ascii="Times New Roman" w:hAnsi="Times New Roman"/>
                <w:szCs w:val="22"/>
              </w:rPr>
              <w:t xml:space="preserve">Lieu d'affectation : </w:t>
            </w:r>
          </w:p>
          <w:p w:rsidR="006474D5" w:rsidRPr="00865A23" w:rsidRDefault="006474D5" w:rsidP="002E0DE0">
            <w:pPr>
              <w:tabs>
                <w:tab w:val="center" w:pos="4153"/>
                <w:tab w:val="right" w:pos="8306"/>
              </w:tabs>
              <w:rPr>
                <w:rFonts w:ascii="Times New Roman" w:hAnsi="Times New Roman"/>
              </w:rPr>
            </w:pPr>
          </w:p>
        </w:tc>
        <w:tc>
          <w:tcPr>
            <w:tcW w:w="6930" w:type="dxa"/>
            <w:tcBorders>
              <w:left w:val="nil"/>
            </w:tcBorders>
          </w:tcPr>
          <w:p w:rsidR="006474D5" w:rsidRPr="00865A23" w:rsidRDefault="006474D5" w:rsidP="002E0DE0">
            <w:pPr>
              <w:tabs>
                <w:tab w:val="center" w:pos="4153"/>
                <w:tab w:val="right" w:pos="8306"/>
              </w:tabs>
              <w:rPr>
                <w:rFonts w:ascii="Times New Roman" w:hAnsi="Times New Roman"/>
                <w:bCs/>
              </w:rPr>
            </w:pPr>
            <w:r w:rsidRPr="006474D5">
              <w:rPr>
                <w:rFonts w:ascii="Times New Roman" w:hAnsi="Times New Roman"/>
                <w:szCs w:val="22"/>
              </w:rPr>
              <w:t>Assistant de projet (plein temps)</w:t>
            </w:r>
          </w:p>
          <w:p w:rsidR="006474D5" w:rsidRPr="00865A23" w:rsidRDefault="006474D5" w:rsidP="002E0DE0">
            <w:pPr>
              <w:tabs>
                <w:tab w:val="center" w:pos="4153"/>
                <w:tab w:val="right" w:pos="8306"/>
              </w:tabs>
              <w:rPr>
                <w:rFonts w:ascii="Times New Roman" w:hAnsi="Times New Roman"/>
                <w:bCs/>
              </w:rPr>
            </w:pPr>
            <w:r w:rsidRPr="006474D5">
              <w:rPr>
                <w:rFonts w:ascii="Times New Roman" w:hAnsi="Times New Roman"/>
                <w:szCs w:val="22"/>
              </w:rPr>
              <w:t>Unité de gestion du projet (PMU)</w:t>
            </w:r>
          </w:p>
          <w:p w:rsidR="006474D5" w:rsidRPr="00865A23" w:rsidRDefault="006474D5" w:rsidP="002E0DE0">
            <w:pPr>
              <w:tabs>
                <w:tab w:val="center" w:pos="4153"/>
                <w:tab w:val="right" w:pos="8306"/>
              </w:tabs>
              <w:rPr>
                <w:rFonts w:ascii="Times New Roman" w:hAnsi="Times New Roman"/>
                <w:bCs/>
                <w:szCs w:val="22"/>
              </w:rPr>
            </w:pPr>
            <w:r w:rsidRPr="006474D5">
              <w:rPr>
                <w:rFonts w:ascii="Times New Roman" w:hAnsi="Times New Roman"/>
                <w:szCs w:val="22"/>
              </w:rPr>
              <w:t xml:space="preserve">Ministère chargé de l'Environnement et des Eaux et Forêts (MEWF - Ministry of Environment, Water and Forests) </w:t>
            </w:r>
          </w:p>
          <w:p w:rsidR="006474D5" w:rsidRPr="00865A23" w:rsidRDefault="006474D5" w:rsidP="002E0DE0">
            <w:pPr>
              <w:tabs>
                <w:tab w:val="center" w:pos="4153"/>
                <w:tab w:val="right" w:pos="8306"/>
              </w:tabs>
              <w:rPr>
                <w:rFonts w:ascii="Times New Roman" w:hAnsi="Times New Roman"/>
                <w:bCs/>
              </w:rPr>
            </w:pPr>
            <w:r w:rsidRPr="006474D5">
              <w:rPr>
                <w:rFonts w:ascii="Times New Roman" w:hAnsi="Times New Roman"/>
                <w:szCs w:val="22"/>
              </w:rPr>
              <w:t xml:space="preserve">Un an avec possibilité de prolongation </w:t>
            </w:r>
          </w:p>
          <w:p w:rsidR="006474D5" w:rsidRPr="006474D5" w:rsidRDefault="006474D5" w:rsidP="002E0DE0">
            <w:pPr>
              <w:tabs>
                <w:tab w:val="center" w:pos="4153"/>
                <w:tab w:val="right" w:pos="8306"/>
              </w:tabs>
              <w:rPr>
                <w:rFonts w:ascii="Times New Roman" w:hAnsi="Times New Roman"/>
                <w:lang w:val="en-GB"/>
              </w:rPr>
            </w:pPr>
            <w:r w:rsidRPr="006474D5">
              <w:rPr>
                <w:rFonts w:ascii="Times New Roman" w:hAnsi="Times New Roman"/>
                <w:szCs w:val="22"/>
              </w:rPr>
              <w:t>Conakry, Guinée</w:t>
            </w:r>
          </w:p>
        </w:tc>
      </w:tr>
      <w:tr w:rsidR="006474D5" w:rsidRPr="006474D5" w:rsidTr="002E0DE0">
        <w:tc>
          <w:tcPr>
            <w:tcW w:w="10260" w:type="dxa"/>
            <w:gridSpan w:val="2"/>
            <w:shd w:val="clear" w:color="auto" w:fill="E0E0E0"/>
          </w:tcPr>
          <w:p w:rsidR="006474D5" w:rsidRPr="006474D5" w:rsidRDefault="006474D5" w:rsidP="002E0DE0">
            <w:pPr>
              <w:rPr>
                <w:rFonts w:ascii="Times New Roman" w:hAnsi="Times New Roman"/>
                <w:b/>
                <w:bCs/>
                <w:lang w:val="en-GB"/>
              </w:rPr>
            </w:pPr>
            <w:r w:rsidRPr="006474D5">
              <w:rPr>
                <w:rFonts w:ascii="Times New Roman" w:hAnsi="Times New Roman"/>
                <w:b/>
                <w:bCs/>
                <w:szCs w:val="22"/>
              </w:rPr>
              <w:t xml:space="preserve">II. Fonctions </w:t>
            </w:r>
          </w:p>
        </w:tc>
      </w:tr>
      <w:tr w:rsidR="006474D5" w:rsidRPr="006474D5" w:rsidTr="002E0DE0">
        <w:tc>
          <w:tcPr>
            <w:tcW w:w="10260" w:type="dxa"/>
            <w:gridSpan w:val="2"/>
          </w:tcPr>
          <w:p w:rsidR="006474D5" w:rsidRPr="00865A23" w:rsidRDefault="006474D5" w:rsidP="002E0DE0">
            <w:pPr>
              <w:rPr>
                <w:rFonts w:ascii="Times New Roman" w:hAnsi="Times New Roman"/>
              </w:rPr>
            </w:pPr>
            <w:r w:rsidRPr="006474D5">
              <w:rPr>
                <w:rFonts w:ascii="Times New Roman" w:hAnsi="Times New Roman"/>
                <w:szCs w:val="22"/>
              </w:rPr>
              <w:t>Sous la supervision globale du Chef de projet, l'Assistant de projet devra :</w:t>
            </w:r>
          </w:p>
          <w:p w:rsidR="006474D5" w:rsidRPr="00865A23" w:rsidRDefault="006474D5" w:rsidP="006474D5">
            <w:pPr>
              <w:numPr>
                <w:ilvl w:val="0"/>
                <w:numId w:val="45"/>
              </w:numPr>
              <w:spacing w:after="0"/>
              <w:ind w:left="720"/>
              <w:rPr>
                <w:rFonts w:ascii="Times New Roman" w:hAnsi="Times New Roman"/>
              </w:rPr>
            </w:pPr>
            <w:r w:rsidRPr="006474D5">
              <w:rPr>
                <w:rFonts w:ascii="Times New Roman" w:hAnsi="Times New Roman"/>
                <w:szCs w:val="22"/>
              </w:rPr>
              <w:t>Apporter son soutien aux activités des experts nationaux/internationaux, des investisseurs potentiels et des sous-traitants ;</w:t>
            </w:r>
          </w:p>
          <w:p w:rsidR="006474D5" w:rsidRPr="00865A23" w:rsidRDefault="006474D5" w:rsidP="006474D5">
            <w:pPr>
              <w:numPr>
                <w:ilvl w:val="0"/>
                <w:numId w:val="45"/>
              </w:numPr>
              <w:spacing w:after="0"/>
              <w:ind w:left="720"/>
              <w:rPr>
                <w:rFonts w:ascii="Times New Roman" w:hAnsi="Times New Roman"/>
              </w:rPr>
            </w:pPr>
            <w:r w:rsidRPr="006474D5">
              <w:rPr>
                <w:rFonts w:ascii="Times New Roman" w:hAnsi="Times New Roman"/>
                <w:szCs w:val="22"/>
              </w:rPr>
              <w:t>Fournir un soutien administratif, à savoir : dactylographie, classement, demandes de visas pour les experts internationaux/sous-traitants, tenue des dossiers financiers du projet, etc.</w:t>
            </w:r>
          </w:p>
          <w:p w:rsidR="006474D5" w:rsidRPr="004F2CBA" w:rsidRDefault="006474D5" w:rsidP="006474D5">
            <w:pPr>
              <w:numPr>
                <w:ilvl w:val="0"/>
                <w:numId w:val="45"/>
              </w:numPr>
              <w:spacing w:after="0"/>
              <w:ind w:left="720"/>
              <w:rPr>
                <w:rFonts w:ascii="Times New Roman" w:hAnsi="Times New Roman"/>
                <w:lang w:val="es-ES_tradnl"/>
              </w:rPr>
            </w:pPr>
            <w:r w:rsidRPr="006474D5">
              <w:rPr>
                <w:rFonts w:ascii="Times New Roman" w:hAnsi="Times New Roman"/>
                <w:szCs w:val="22"/>
              </w:rPr>
              <w:t xml:space="preserve">Gérer la comptabilité du projet conformément aux procédures du PNUD ; </w:t>
            </w:r>
          </w:p>
          <w:p w:rsidR="006474D5" w:rsidRPr="00865A23" w:rsidRDefault="006474D5" w:rsidP="006474D5">
            <w:pPr>
              <w:numPr>
                <w:ilvl w:val="0"/>
                <w:numId w:val="46"/>
              </w:numPr>
              <w:tabs>
                <w:tab w:val="left" w:pos="720"/>
              </w:tabs>
              <w:spacing w:after="0"/>
              <w:rPr>
                <w:rFonts w:ascii="Times New Roman" w:hAnsi="Times New Roman"/>
              </w:rPr>
            </w:pPr>
            <w:r w:rsidRPr="006474D5">
              <w:rPr>
                <w:rFonts w:ascii="Times New Roman" w:hAnsi="Times New Roman"/>
                <w:szCs w:val="22"/>
              </w:rPr>
              <w:t>Assister le Chef de projet pour l'organisation d'ateliers, de réunions du Comité du projet et d'autres événements.</w:t>
            </w:r>
          </w:p>
          <w:p w:rsidR="006474D5" w:rsidRPr="00865A23" w:rsidRDefault="006474D5" w:rsidP="006474D5">
            <w:pPr>
              <w:numPr>
                <w:ilvl w:val="0"/>
                <w:numId w:val="46"/>
              </w:numPr>
              <w:tabs>
                <w:tab w:val="left" w:pos="720"/>
              </w:tabs>
              <w:spacing w:after="0"/>
              <w:rPr>
                <w:rFonts w:ascii="Times New Roman" w:hAnsi="Times New Roman"/>
                <w:b/>
              </w:rPr>
            </w:pPr>
            <w:r w:rsidRPr="006474D5">
              <w:rPr>
                <w:rFonts w:ascii="Times New Roman" w:hAnsi="Times New Roman"/>
                <w:szCs w:val="22"/>
              </w:rPr>
              <w:t>Aider aux achats des biens et services ;</w:t>
            </w:r>
          </w:p>
          <w:p w:rsidR="006474D5" w:rsidRPr="00865A23" w:rsidRDefault="006474D5" w:rsidP="006474D5">
            <w:pPr>
              <w:numPr>
                <w:ilvl w:val="0"/>
                <w:numId w:val="46"/>
              </w:numPr>
              <w:tabs>
                <w:tab w:val="left" w:pos="720"/>
              </w:tabs>
              <w:spacing w:after="0"/>
              <w:rPr>
                <w:rFonts w:ascii="Times New Roman" w:hAnsi="Times New Roman"/>
                <w:b/>
              </w:rPr>
            </w:pPr>
            <w:r w:rsidRPr="006474D5">
              <w:rPr>
                <w:rFonts w:ascii="Times New Roman" w:hAnsi="Times New Roman"/>
                <w:szCs w:val="22"/>
              </w:rPr>
              <w:t>Rédiger des lettres d'invitation et des ordres du jour pour les réunions du Comité du projet et les ateliers ;</w:t>
            </w:r>
          </w:p>
          <w:p w:rsidR="006474D5" w:rsidRPr="00865A23" w:rsidRDefault="006474D5" w:rsidP="006474D5">
            <w:pPr>
              <w:numPr>
                <w:ilvl w:val="0"/>
                <w:numId w:val="46"/>
              </w:numPr>
              <w:tabs>
                <w:tab w:val="left" w:pos="720"/>
              </w:tabs>
              <w:spacing w:after="0"/>
              <w:rPr>
                <w:rFonts w:ascii="Times New Roman" w:hAnsi="Times New Roman"/>
                <w:b/>
              </w:rPr>
            </w:pPr>
            <w:r w:rsidRPr="006474D5">
              <w:rPr>
                <w:rFonts w:ascii="Times New Roman" w:hAnsi="Times New Roman"/>
                <w:szCs w:val="22"/>
              </w:rPr>
              <w:t>Préparer les informations contextuelles, les supports de briefing, les rapports, etc., selon les besoins ;</w:t>
            </w:r>
          </w:p>
          <w:p w:rsidR="006474D5" w:rsidRPr="00865A23" w:rsidRDefault="006474D5" w:rsidP="006474D5">
            <w:pPr>
              <w:numPr>
                <w:ilvl w:val="0"/>
                <w:numId w:val="46"/>
              </w:numPr>
              <w:tabs>
                <w:tab w:val="left" w:pos="720"/>
              </w:tabs>
              <w:spacing w:after="0"/>
              <w:rPr>
                <w:rFonts w:ascii="Times New Roman" w:hAnsi="Times New Roman"/>
                <w:color w:val="000000"/>
              </w:rPr>
            </w:pPr>
            <w:r w:rsidRPr="006474D5">
              <w:rPr>
                <w:rFonts w:ascii="Times New Roman" w:hAnsi="Times New Roman"/>
                <w:szCs w:val="22"/>
              </w:rPr>
              <w:t>Rédiger les procès-verbaux des réunions, assurer la surveillance/le suivi des actions requises.</w:t>
            </w:r>
          </w:p>
        </w:tc>
      </w:tr>
      <w:tr w:rsidR="006474D5" w:rsidRPr="006474D5" w:rsidTr="002E0DE0">
        <w:tc>
          <w:tcPr>
            <w:tcW w:w="10260" w:type="dxa"/>
            <w:gridSpan w:val="2"/>
            <w:shd w:val="clear" w:color="auto" w:fill="E0E0E0"/>
          </w:tcPr>
          <w:p w:rsidR="006474D5" w:rsidRPr="006474D5" w:rsidRDefault="006474D5" w:rsidP="002E0DE0">
            <w:pPr>
              <w:pBdr>
                <w:top w:val="single" w:sz="4" w:space="1" w:color="auto"/>
              </w:pBdr>
              <w:rPr>
                <w:rFonts w:ascii="Times New Roman" w:hAnsi="Times New Roman"/>
                <w:b/>
                <w:bCs/>
                <w:lang w:val="en-GB"/>
              </w:rPr>
            </w:pPr>
            <w:r w:rsidRPr="006474D5">
              <w:rPr>
                <w:rFonts w:ascii="Times New Roman" w:hAnsi="Times New Roman"/>
                <w:b/>
                <w:bCs/>
                <w:szCs w:val="22"/>
              </w:rPr>
              <w:t>III. Qualifications et expérience</w:t>
            </w:r>
          </w:p>
        </w:tc>
      </w:tr>
      <w:tr w:rsidR="006474D5" w:rsidRPr="006474D5" w:rsidTr="002E0DE0">
        <w:tc>
          <w:tcPr>
            <w:tcW w:w="10260" w:type="dxa"/>
            <w:gridSpan w:val="2"/>
          </w:tcPr>
          <w:p w:rsidR="006474D5" w:rsidRPr="006474D5" w:rsidRDefault="006474D5" w:rsidP="002E0DE0">
            <w:pPr>
              <w:tabs>
                <w:tab w:val="left" w:pos="312"/>
              </w:tabs>
              <w:rPr>
                <w:rFonts w:ascii="Times New Roman" w:hAnsi="Times New Roman"/>
                <w:b/>
                <w:iCs/>
                <w:lang w:val="en-GB"/>
              </w:rPr>
            </w:pPr>
            <w:r w:rsidRPr="006474D5">
              <w:rPr>
                <w:rFonts w:ascii="Times New Roman" w:hAnsi="Times New Roman"/>
                <w:b/>
                <w:bCs/>
                <w:szCs w:val="22"/>
              </w:rPr>
              <w:t xml:space="preserve">Formation : </w:t>
            </w:r>
          </w:p>
          <w:p w:rsidR="006474D5" w:rsidRPr="00865A23" w:rsidRDefault="006474D5" w:rsidP="006474D5">
            <w:pPr>
              <w:numPr>
                <w:ilvl w:val="0"/>
                <w:numId w:val="47"/>
              </w:numPr>
              <w:tabs>
                <w:tab w:val="left" w:pos="312"/>
              </w:tabs>
              <w:spacing w:after="0"/>
              <w:jc w:val="left"/>
              <w:rPr>
                <w:rFonts w:ascii="Times New Roman" w:hAnsi="Times New Roman"/>
                <w:iCs/>
              </w:rPr>
            </w:pPr>
            <w:r w:rsidRPr="006474D5">
              <w:rPr>
                <w:rFonts w:ascii="Times New Roman" w:hAnsi="Times New Roman"/>
                <w:szCs w:val="22"/>
              </w:rPr>
              <w:t xml:space="preserve">Diplôme d'études supérieures en économie, gestion, comptabilité, finance ou autre domaine connexe. </w:t>
            </w:r>
          </w:p>
          <w:p w:rsidR="006474D5" w:rsidRPr="00865A23" w:rsidRDefault="006474D5" w:rsidP="006474D5">
            <w:pPr>
              <w:numPr>
                <w:ilvl w:val="0"/>
                <w:numId w:val="47"/>
              </w:numPr>
              <w:spacing w:after="0"/>
              <w:jc w:val="left"/>
              <w:rPr>
                <w:rFonts w:ascii="Times New Roman" w:hAnsi="Times New Roman"/>
              </w:rPr>
            </w:pPr>
            <w:r w:rsidRPr="006474D5">
              <w:rPr>
                <w:rFonts w:ascii="Times New Roman" w:hAnsi="Times New Roman"/>
                <w:szCs w:val="22"/>
              </w:rPr>
              <w:t>Une formation spécialisée en finance est souhaitable</w:t>
            </w:r>
          </w:p>
        </w:tc>
      </w:tr>
      <w:tr w:rsidR="006474D5" w:rsidRPr="006474D5" w:rsidTr="002E0DE0">
        <w:tc>
          <w:tcPr>
            <w:tcW w:w="10260" w:type="dxa"/>
            <w:gridSpan w:val="2"/>
          </w:tcPr>
          <w:p w:rsidR="006474D5" w:rsidRPr="006474D5" w:rsidRDefault="006474D5" w:rsidP="002E0DE0">
            <w:pPr>
              <w:tabs>
                <w:tab w:val="left" w:pos="312"/>
              </w:tabs>
              <w:rPr>
                <w:rFonts w:ascii="Times New Roman" w:hAnsi="Times New Roman"/>
                <w:b/>
                <w:iCs/>
                <w:lang w:val="en-GB"/>
              </w:rPr>
            </w:pPr>
            <w:r w:rsidRPr="006474D5">
              <w:rPr>
                <w:rFonts w:ascii="Times New Roman" w:hAnsi="Times New Roman"/>
                <w:b/>
                <w:bCs/>
                <w:szCs w:val="22"/>
              </w:rPr>
              <w:t xml:space="preserve">Expérience : </w:t>
            </w:r>
          </w:p>
          <w:p w:rsidR="006474D5" w:rsidRPr="00865A23" w:rsidRDefault="006474D5" w:rsidP="006474D5">
            <w:pPr>
              <w:numPr>
                <w:ilvl w:val="0"/>
                <w:numId w:val="48"/>
              </w:numPr>
              <w:tabs>
                <w:tab w:val="left" w:pos="312"/>
              </w:tabs>
              <w:spacing w:after="0"/>
              <w:jc w:val="left"/>
              <w:rPr>
                <w:rFonts w:ascii="Times New Roman" w:hAnsi="Times New Roman"/>
                <w:iCs/>
              </w:rPr>
            </w:pPr>
            <w:r w:rsidRPr="006474D5">
              <w:rPr>
                <w:rFonts w:ascii="Times New Roman" w:hAnsi="Times New Roman"/>
                <w:szCs w:val="22"/>
              </w:rPr>
              <w:t xml:space="preserve">3 ans d'expérience pertinente en matière administrative, comptable et financière au niveau national et/ou international. </w:t>
            </w:r>
          </w:p>
          <w:p w:rsidR="006474D5" w:rsidRPr="00865A23" w:rsidRDefault="006474D5" w:rsidP="006474D5">
            <w:pPr>
              <w:numPr>
                <w:ilvl w:val="0"/>
                <w:numId w:val="48"/>
              </w:numPr>
              <w:tabs>
                <w:tab w:val="left" w:pos="312"/>
              </w:tabs>
              <w:spacing w:after="0"/>
              <w:jc w:val="left"/>
              <w:rPr>
                <w:rFonts w:ascii="Times New Roman" w:hAnsi="Times New Roman"/>
                <w:iCs/>
              </w:rPr>
            </w:pPr>
            <w:r w:rsidRPr="006474D5">
              <w:rPr>
                <w:rFonts w:ascii="Times New Roman" w:hAnsi="Times New Roman"/>
                <w:szCs w:val="22"/>
              </w:rPr>
              <w:lastRenderedPageBreak/>
              <w:t xml:space="preserve">Expérience en matière informatique et dans l'utilisation de programmes logiciels de bureau (MS Word, </w:t>
            </w:r>
            <w:r w:rsidR="00221B25">
              <w:rPr>
                <w:rFonts w:ascii="Times New Roman" w:hAnsi="Times New Roman"/>
                <w:szCs w:val="22"/>
              </w:rPr>
              <w:t xml:space="preserve">Excel, etc.). </w:t>
            </w:r>
          </w:p>
          <w:p w:rsidR="006474D5" w:rsidRPr="004F2CBA" w:rsidRDefault="006474D5" w:rsidP="006474D5">
            <w:pPr>
              <w:numPr>
                <w:ilvl w:val="0"/>
                <w:numId w:val="48"/>
              </w:numPr>
              <w:tabs>
                <w:tab w:val="left" w:pos="312"/>
              </w:tabs>
              <w:spacing w:after="0"/>
              <w:jc w:val="left"/>
              <w:rPr>
                <w:rFonts w:ascii="Times New Roman" w:hAnsi="Times New Roman"/>
                <w:iCs/>
                <w:lang w:val="es-ES_tradnl"/>
              </w:rPr>
            </w:pPr>
            <w:r w:rsidRPr="006474D5">
              <w:rPr>
                <w:rFonts w:ascii="Times New Roman" w:hAnsi="Times New Roman"/>
                <w:szCs w:val="22"/>
              </w:rPr>
              <w:t>Expérience préalable de collaboration à des programmes exécutés au niveau national, financés par des organisations bilatérales/multilatérales.</w:t>
            </w:r>
          </w:p>
          <w:p w:rsidR="006474D5" w:rsidRPr="00865A23" w:rsidRDefault="006474D5" w:rsidP="006474D5">
            <w:pPr>
              <w:numPr>
                <w:ilvl w:val="0"/>
                <w:numId w:val="48"/>
              </w:numPr>
              <w:tabs>
                <w:tab w:val="left" w:pos="312"/>
              </w:tabs>
              <w:spacing w:after="0"/>
              <w:jc w:val="left"/>
              <w:rPr>
                <w:rFonts w:ascii="Times New Roman" w:hAnsi="Times New Roman"/>
                <w:i/>
                <w:iCs/>
              </w:rPr>
            </w:pPr>
            <w:r w:rsidRPr="006474D5">
              <w:rPr>
                <w:rFonts w:ascii="Times New Roman" w:hAnsi="Times New Roman"/>
                <w:szCs w:val="22"/>
              </w:rPr>
              <w:t>Une expérience pratique en matière d'approvisionnement sera un atout.</w:t>
            </w:r>
          </w:p>
        </w:tc>
      </w:tr>
      <w:tr w:rsidR="006474D5" w:rsidRPr="006474D5" w:rsidTr="002E0DE0">
        <w:tc>
          <w:tcPr>
            <w:tcW w:w="10260" w:type="dxa"/>
            <w:gridSpan w:val="2"/>
          </w:tcPr>
          <w:p w:rsidR="006474D5" w:rsidRPr="006474D5" w:rsidRDefault="006474D5" w:rsidP="002E0DE0">
            <w:pPr>
              <w:rPr>
                <w:rFonts w:ascii="Times New Roman" w:hAnsi="Times New Roman"/>
                <w:b/>
                <w:lang w:val="en-GB"/>
              </w:rPr>
            </w:pPr>
            <w:r w:rsidRPr="006474D5">
              <w:rPr>
                <w:rFonts w:ascii="Times New Roman" w:hAnsi="Times New Roman"/>
                <w:b/>
                <w:bCs/>
                <w:szCs w:val="22"/>
              </w:rPr>
              <w:lastRenderedPageBreak/>
              <w:t>Langues requises :</w:t>
            </w:r>
          </w:p>
          <w:p w:rsidR="006474D5" w:rsidRPr="00865A23" w:rsidRDefault="006474D5" w:rsidP="006474D5">
            <w:pPr>
              <w:numPr>
                <w:ilvl w:val="0"/>
                <w:numId w:val="49"/>
              </w:numPr>
              <w:spacing w:after="0"/>
              <w:jc w:val="left"/>
              <w:rPr>
                <w:rFonts w:ascii="Times New Roman" w:hAnsi="Times New Roman"/>
                <w:b/>
              </w:rPr>
            </w:pPr>
            <w:r w:rsidRPr="006474D5">
              <w:rPr>
                <w:rFonts w:ascii="Times New Roman" w:hAnsi="Times New Roman"/>
                <w:szCs w:val="22"/>
              </w:rPr>
              <w:t xml:space="preserve">Français et anglais excellents, tant à l'écrit qu'à l'oral. </w:t>
            </w:r>
          </w:p>
        </w:tc>
      </w:tr>
    </w:tbl>
    <w:p w:rsidR="006474D5" w:rsidRPr="00865A23" w:rsidRDefault="006474D5" w:rsidP="006474D5">
      <w:pPr>
        <w:ind w:left="-540" w:right="-540"/>
        <w:rPr>
          <w:rFonts w:ascii="Times New Roman" w:hAnsi="Times New Roman"/>
          <w:iCs/>
          <w:szCs w:val="22"/>
        </w:rPr>
        <w:sectPr w:rsidR="006474D5" w:rsidRPr="00865A23">
          <w:pgSz w:w="12240" w:h="15840" w:code="1"/>
          <w:pgMar w:top="1440" w:right="1440" w:bottom="1440" w:left="1411" w:header="720" w:footer="720" w:gutter="0"/>
          <w:cols w:space="720"/>
          <w:docGrid w:linePitch="360"/>
        </w:sectPr>
      </w:pPr>
    </w:p>
    <w:p w:rsidR="006474D5" w:rsidRPr="00865A23" w:rsidRDefault="006474D5" w:rsidP="006474D5">
      <w:pPr>
        <w:rPr>
          <w:rFonts w:ascii="Times New Roman" w:hAnsi="Times New Roman"/>
          <w:b/>
          <w:szCs w:val="22"/>
        </w:rPr>
      </w:pPr>
      <w:bookmarkStart w:id="99" w:name="_Toc245073724"/>
      <w:bookmarkStart w:id="100" w:name="_Toc293061859"/>
      <w:r w:rsidRPr="006474D5">
        <w:rPr>
          <w:rFonts w:ascii="Times New Roman" w:hAnsi="Times New Roman"/>
          <w:b/>
          <w:bCs/>
          <w:szCs w:val="22"/>
        </w:rPr>
        <w:lastRenderedPageBreak/>
        <w:t>3. Conseiller technique principal (Non-résident)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60"/>
        <w:gridCol w:w="7380"/>
      </w:tblGrid>
      <w:tr w:rsidR="006474D5" w:rsidRPr="006474D5" w:rsidTr="002E0DE0">
        <w:tc>
          <w:tcPr>
            <w:tcW w:w="2880" w:type="dxa"/>
            <w:gridSpan w:val="2"/>
          </w:tcPr>
          <w:p w:rsidR="006474D5" w:rsidRPr="00865A23" w:rsidRDefault="006474D5" w:rsidP="002E0DE0">
            <w:pPr>
              <w:rPr>
                <w:rFonts w:ascii="Times New Roman" w:hAnsi="Times New Roman"/>
              </w:rPr>
            </w:pPr>
            <w:r w:rsidRPr="006474D5">
              <w:rPr>
                <w:rFonts w:ascii="Times New Roman" w:hAnsi="Times New Roman"/>
                <w:szCs w:val="22"/>
              </w:rPr>
              <w:t xml:space="preserve">Intitulé du poste : </w:t>
            </w:r>
          </w:p>
          <w:p w:rsidR="006474D5" w:rsidRPr="00865A23" w:rsidRDefault="00221B25" w:rsidP="002E0DE0">
            <w:pPr>
              <w:rPr>
                <w:rFonts w:ascii="Times New Roman" w:hAnsi="Times New Roman"/>
              </w:rPr>
            </w:pPr>
            <w:r>
              <w:rPr>
                <w:rFonts w:ascii="Times New Roman" w:hAnsi="Times New Roman"/>
                <w:szCs w:val="22"/>
              </w:rPr>
              <w:t>Bureau :</w:t>
            </w:r>
          </w:p>
          <w:p w:rsidR="006474D5" w:rsidRPr="00865A23" w:rsidRDefault="006474D5" w:rsidP="002E0DE0">
            <w:pPr>
              <w:rPr>
                <w:rFonts w:ascii="Times New Roman" w:hAnsi="Times New Roman"/>
                <w:b/>
                <w:bCs/>
              </w:rPr>
            </w:pPr>
            <w:r w:rsidRPr="006474D5">
              <w:rPr>
                <w:rFonts w:ascii="Times New Roman" w:hAnsi="Times New Roman"/>
                <w:szCs w:val="22"/>
              </w:rPr>
              <w:t>Organisation :</w:t>
            </w:r>
          </w:p>
          <w:p w:rsidR="006474D5" w:rsidRPr="00865A23" w:rsidRDefault="00221B25" w:rsidP="002E0DE0">
            <w:pPr>
              <w:rPr>
                <w:rFonts w:ascii="Times New Roman" w:hAnsi="Times New Roman"/>
                <w:bCs/>
              </w:rPr>
            </w:pPr>
            <w:r>
              <w:rPr>
                <w:rFonts w:ascii="Times New Roman" w:hAnsi="Times New Roman"/>
                <w:szCs w:val="22"/>
              </w:rPr>
              <w:t xml:space="preserve">Durée de l'emploi : </w:t>
            </w:r>
          </w:p>
          <w:p w:rsidR="006474D5" w:rsidRPr="00865A23" w:rsidRDefault="006474D5" w:rsidP="002E0DE0">
            <w:pPr>
              <w:rPr>
                <w:rFonts w:ascii="Times New Roman" w:hAnsi="Times New Roman"/>
                <w:bCs/>
                <w:szCs w:val="22"/>
              </w:rPr>
            </w:pPr>
          </w:p>
          <w:p w:rsidR="006474D5" w:rsidRPr="00865A23" w:rsidRDefault="006474D5" w:rsidP="002E0DE0">
            <w:pPr>
              <w:rPr>
                <w:rFonts w:ascii="Times New Roman" w:hAnsi="Times New Roman"/>
              </w:rPr>
            </w:pPr>
            <w:r w:rsidRPr="006474D5">
              <w:rPr>
                <w:rFonts w:ascii="Times New Roman" w:hAnsi="Times New Roman"/>
                <w:szCs w:val="22"/>
              </w:rPr>
              <w:t xml:space="preserve">Lieu d'affectation : </w:t>
            </w:r>
          </w:p>
          <w:p w:rsidR="006474D5" w:rsidRPr="00865A23" w:rsidRDefault="006474D5" w:rsidP="002E0DE0">
            <w:pPr>
              <w:tabs>
                <w:tab w:val="center" w:pos="4153"/>
                <w:tab w:val="right" w:pos="8306"/>
              </w:tabs>
              <w:rPr>
                <w:rFonts w:ascii="Times New Roman" w:hAnsi="Times New Roman"/>
              </w:rPr>
            </w:pPr>
          </w:p>
        </w:tc>
        <w:tc>
          <w:tcPr>
            <w:tcW w:w="7380" w:type="dxa"/>
          </w:tcPr>
          <w:p w:rsidR="006474D5" w:rsidRPr="00865A23" w:rsidRDefault="006474D5" w:rsidP="002E0DE0">
            <w:pPr>
              <w:tabs>
                <w:tab w:val="center" w:pos="4153"/>
                <w:tab w:val="right" w:pos="8306"/>
              </w:tabs>
              <w:rPr>
                <w:rFonts w:ascii="Times New Roman" w:hAnsi="Times New Roman"/>
                <w:szCs w:val="22"/>
              </w:rPr>
            </w:pPr>
            <w:r w:rsidRPr="006474D5">
              <w:rPr>
                <w:rFonts w:ascii="Times New Roman" w:hAnsi="Times New Roman"/>
                <w:szCs w:val="22"/>
              </w:rPr>
              <w:t>Conseiller technique principal (Non-résident)</w:t>
            </w:r>
          </w:p>
          <w:p w:rsidR="006474D5" w:rsidRPr="00865A23" w:rsidRDefault="006474D5" w:rsidP="002E0DE0">
            <w:pPr>
              <w:tabs>
                <w:tab w:val="center" w:pos="4153"/>
                <w:tab w:val="right" w:pos="8306"/>
              </w:tabs>
              <w:rPr>
                <w:rFonts w:ascii="Times New Roman" w:hAnsi="Times New Roman"/>
              </w:rPr>
            </w:pPr>
            <w:r w:rsidRPr="006474D5">
              <w:rPr>
                <w:rFonts w:ascii="Times New Roman" w:hAnsi="Times New Roman"/>
                <w:szCs w:val="22"/>
              </w:rPr>
              <w:t>Unité de gestion du projet (PMU)</w:t>
            </w:r>
          </w:p>
          <w:p w:rsidR="006474D5" w:rsidRPr="00865A23" w:rsidRDefault="006474D5" w:rsidP="002E0DE0">
            <w:pPr>
              <w:tabs>
                <w:tab w:val="center" w:pos="4153"/>
                <w:tab w:val="right" w:pos="8306"/>
              </w:tabs>
              <w:rPr>
                <w:rFonts w:ascii="Times New Roman" w:hAnsi="Times New Roman"/>
                <w:szCs w:val="22"/>
              </w:rPr>
            </w:pPr>
            <w:r w:rsidRPr="006474D5">
              <w:rPr>
                <w:rFonts w:ascii="Times New Roman" w:hAnsi="Times New Roman"/>
                <w:szCs w:val="22"/>
              </w:rPr>
              <w:t>Ministère chargé de l'Environnement et des Eaux et Forêts (MEWF - Ministry of Environment, Water and Forests)</w:t>
            </w:r>
          </w:p>
          <w:p w:rsidR="006474D5" w:rsidRPr="00865A23" w:rsidRDefault="006474D5" w:rsidP="002E0DE0">
            <w:pPr>
              <w:tabs>
                <w:tab w:val="center" w:pos="4153"/>
                <w:tab w:val="right" w:pos="8306"/>
              </w:tabs>
              <w:rPr>
                <w:rFonts w:ascii="Times New Roman" w:hAnsi="Times New Roman"/>
                <w:bCs/>
                <w:szCs w:val="22"/>
              </w:rPr>
            </w:pPr>
            <w:r w:rsidRPr="006474D5">
              <w:rPr>
                <w:rFonts w:ascii="Times New Roman" w:hAnsi="Times New Roman"/>
                <w:szCs w:val="22"/>
              </w:rPr>
              <w:t>30 semaines (sur une période de 5 ans) (30 jours par an, y compris 2 missions de 5 jours. Contrat de 12 mois, renouvelable en fonction de la performance)</w:t>
            </w:r>
          </w:p>
          <w:p w:rsidR="006474D5" w:rsidRPr="00865A23" w:rsidRDefault="006474D5" w:rsidP="002E0DE0">
            <w:pPr>
              <w:tabs>
                <w:tab w:val="center" w:pos="4153"/>
                <w:tab w:val="right" w:pos="8306"/>
              </w:tabs>
              <w:rPr>
                <w:rFonts w:ascii="Times New Roman" w:hAnsi="Times New Roman"/>
              </w:rPr>
            </w:pPr>
            <w:r w:rsidRPr="006474D5">
              <w:rPr>
                <w:rFonts w:ascii="Times New Roman" w:hAnsi="Times New Roman"/>
                <w:szCs w:val="22"/>
              </w:rPr>
              <w:t>Bureau à domicile + Conakry, Guinée</w:t>
            </w:r>
          </w:p>
        </w:tc>
      </w:tr>
      <w:tr w:rsidR="006474D5" w:rsidRPr="006474D5" w:rsidTr="002E0DE0">
        <w:tc>
          <w:tcPr>
            <w:tcW w:w="10260" w:type="dxa"/>
            <w:gridSpan w:val="3"/>
            <w:shd w:val="clear" w:color="auto" w:fill="E0E0E0"/>
          </w:tcPr>
          <w:p w:rsidR="006474D5" w:rsidRPr="006474D5" w:rsidRDefault="006474D5" w:rsidP="002E0DE0">
            <w:pPr>
              <w:rPr>
                <w:rFonts w:ascii="Times New Roman" w:hAnsi="Times New Roman"/>
                <w:b/>
                <w:lang w:val="en-GB"/>
              </w:rPr>
            </w:pPr>
            <w:r w:rsidRPr="006474D5">
              <w:rPr>
                <w:rFonts w:ascii="Times New Roman" w:hAnsi="Times New Roman"/>
                <w:b/>
                <w:bCs/>
                <w:szCs w:val="22"/>
              </w:rPr>
              <w:t>II. Tâches</w:t>
            </w:r>
          </w:p>
        </w:tc>
      </w:tr>
      <w:tr w:rsidR="006474D5" w:rsidRPr="006474D5" w:rsidTr="002E0DE0">
        <w:tc>
          <w:tcPr>
            <w:tcW w:w="10260" w:type="dxa"/>
            <w:gridSpan w:val="3"/>
          </w:tcPr>
          <w:p w:rsidR="006474D5" w:rsidRPr="00865A23" w:rsidRDefault="006474D5" w:rsidP="002E0DE0">
            <w:pPr>
              <w:rPr>
                <w:rFonts w:ascii="Times New Roman" w:hAnsi="Times New Roman"/>
              </w:rPr>
            </w:pPr>
          </w:p>
          <w:p w:rsidR="006474D5" w:rsidRPr="00865A23" w:rsidRDefault="006474D5" w:rsidP="002E0DE0">
            <w:pPr>
              <w:rPr>
                <w:rFonts w:ascii="Times New Roman" w:hAnsi="Times New Roman"/>
                <w:szCs w:val="22"/>
              </w:rPr>
            </w:pPr>
            <w:r w:rsidRPr="006474D5">
              <w:rPr>
                <w:rFonts w:ascii="Times New Roman" w:hAnsi="Times New Roman"/>
                <w:szCs w:val="22"/>
              </w:rPr>
              <w:t>Sous la supervision globale du Directeur national de projet, le Conseiller technique principal non-résident devra :</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Collaborer étroitement avec le PM pour coordonner et faciliter les contributions des agences gouvernementales, des organisations partenaires, des institutions scientifiques et de recherche, des sous-traitants, et des experts nationaux et internationaux, et ceci d'une manière efficace et respectueuse des délais impartis ;</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Fournir une orientation et une assistance au PM ainsi qu'au personnel afin de veiller à ce que les activités du projet soient conformes au document de projet approuvé ;</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Assister le PM au cours des 2 premiers mois du projet, pour la préparation d'un « rapport de lancement » qui exposera la Matrice du cadre logique du projet ainsi que les activités planifiées du projet, le Plan de travail et le Budget pour la première année, les Missions (ToR) du personnel clé et un plan M&amp;E (</w:t>
            </w:r>
            <w:r w:rsidRPr="006474D5">
              <w:rPr>
                <w:rFonts w:ascii="Times New Roman" w:hAnsi="Times New Roman"/>
                <w:i/>
                <w:szCs w:val="22"/>
              </w:rPr>
              <w:t>Monitoring and Evaluation</w:t>
            </w:r>
            <w:r w:rsidRPr="006474D5">
              <w:rPr>
                <w:rFonts w:ascii="Times New Roman" w:hAnsi="Times New Roman"/>
                <w:szCs w:val="22"/>
              </w:rPr>
              <w:t xml:space="preserve">) ; </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Assister la PMU pour le développement des ToR pertinents et le recrutement/la mobilisation d'experts compétents nationaux et internationaux ainsi que des organisations, en tant que de besoin afin d'assurer la prestation de services de conseil et d'ingénierie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Soutenir la mise en œuvre du Mécanisme de soutien financier (FSM) et rédiger les procédures du fonds d’affectation spéciale communautaire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En étroite coopération avec la PMU et la cellule de coordination du PNUD sur l'énergie et l'environnement, et en consultation avec les organisations et parties prenantes partenaires du projet, préparer les Plans de travail annuels du projet devant être approuvés par le Comité du projet (PB)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 xml:space="preserve">Fournir une orientation et un encadrement « sur le terrain » à la PMU afin de renforcer une capacité d'exécution efficace des aspects techniques du projet ;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Assister le PM dans le cadre des rapports à l'intention du PB sur l'état d'avancement de l'exécution du projet et l’obtention des résultats conformément à la matrice du cadre logique du projet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Soutenir la PMU dans le cadre des réunions portant sur le projet, en tant que de besoin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Examiner les rapports des consultants nationaux et internationaux, les révisions du budget du projet ainsi que les dispositions administratives, tels que requis par les procédures du PNUD/FEM ;</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Assister le PM quant au développement d'un Plan concret de surveillance et d'évaluation au début du projet (dans le cadre du rapport de lancement) ;</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Soutenir le PM pour la préparation des rapports d'état d'avancement du projet, des communiqués d'informations ainsi que des rapports de surveillance et de revue conformément aux règles et procédures de surveillance et d'évaluation du PNUD/FEM.</w:t>
            </w:r>
          </w:p>
          <w:p w:rsidR="006474D5" w:rsidRPr="00865A23" w:rsidRDefault="006474D5" w:rsidP="006474D5">
            <w:pPr>
              <w:numPr>
                <w:ilvl w:val="0"/>
                <w:numId w:val="41"/>
              </w:numPr>
              <w:spacing w:after="0"/>
              <w:rPr>
                <w:rFonts w:ascii="Times New Roman" w:hAnsi="Times New Roman"/>
                <w:szCs w:val="22"/>
              </w:rPr>
            </w:pPr>
            <w:r w:rsidRPr="006474D5">
              <w:rPr>
                <w:rFonts w:ascii="Times New Roman" w:hAnsi="Times New Roman"/>
                <w:szCs w:val="22"/>
              </w:rPr>
              <w:t xml:space="preserve">Soutenir le PM pour la préparation et la mise en œuvre de la revue à mi-parcours ainsi que des Missions d'évaluation indépendante finales (ToR, identification et recrutement des candidats adéquats, organisation des missions, missions conjointes sur le terrain et discussion avec les évaluateurs, etc.) ; </w:t>
            </w:r>
          </w:p>
          <w:p w:rsidR="006474D5" w:rsidRPr="004F2CBA" w:rsidRDefault="006474D5" w:rsidP="006474D5">
            <w:pPr>
              <w:numPr>
                <w:ilvl w:val="0"/>
                <w:numId w:val="41"/>
              </w:numPr>
              <w:spacing w:after="0"/>
              <w:rPr>
                <w:rFonts w:ascii="Times New Roman" w:hAnsi="Times New Roman"/>
                <w:szCs w:val="22"/>
                <w:lang w:val="es-ES_tradnl"/>
              </w:rPr>
            </w:pPr>
            <w:r w:rsidRPr="006474D5">
              <w:rPr>
                <w:rFonts w:ascii="Times New Roman" w:hAnsi="Times New Roman"/>
                <w:szCs w:val="22"/>
              </w:rPr>
              <w:t>Soutenir le personnel du Bureau Pays du PNUD dans le cadre de leurs visites annuelles de contrôle des sites du projet.</w:t>
            </w:r>
          </w:p>
          <w:p w:rsidR="006474D5" w:rsidRPr="004F2CBA" w:rsidRDefault="006474D5" w:rsidP="002E0DE0">
            <w:pPr>
              <w:ind w:left="720"/>
              <w:rPr>
                <w:rFonts w:ascii="Times New Roman" w:hAnsi="Times New Roman"/>
                <w:lang w:val="es-ES_tradnl"/>
              </w:rPr>
            </w:pPr>
          </w:p>
        </w:tc>
      </w:tr>
      <w:tr w:rsidR="006474D5" w:rsidRPr="006474D5" w:rsidTr="002E0DE0">
        <w:tc>
          <w:tcPr>
            <w:tcW w:w="10260" w:type="dxa"/>
            <w:gridSpan w:val="3"/>
            <w:shd w:val="clear" w:color="auto" w:fill="E0E0E0"/>
          </w:tcPr>
          <w:p w:rsidR="006474D5" w:rsidRPr="006474D5" w:rsidRDefault="006474D5" w:rsidP="002E0DE0">
            <w:pPr>
              <w:rPr>
                <w:rFonts w:ascii="Times New Roman" w:hAnsi="Times New Roman"/>
                <w:bCs/>
                <w:lang w:val="en-GB"/>
              </w:rPr>
            </w:pPr>
            <w:r w:rsidRPr="006474D5">
              <w:rPr>
                <w:rFonts w:ascii="Times New Roman" w:hAnsi="Times New Roman"/>
                <w:b/>
                <w:bCs/>
                <w:szCs w:val="22"/>
              </w:rPr>
              <w:t>III. Qualifications et expérience</w:t>
            </w:r>
          </w:p>
        </w:tc>
      </w:tr>
      <w:tr w:rsidR="006474D5" w:rsidRPr="006474D5" w:rsidTr="002E0DE0">
        <w:trPr>
          <w:trHeight w:val="230"/>
        </w:trPr>
        <w:tc>
          <w:tcPr>
            <w:tcW w:w="2520" w:type="dxa"/>
          </w:tcPr>
          <w:p w:rsidR="006474D5" w:rsidRPr="006474D5" w:rsidRDefault="006474D5" w:rsidP="002E0DE0">
            <w:pPr>
              <w:rPr>
                <w:rFonts w:ascii="Times New Roman" w:hAnsi="Times New Roman"/>
                <w:lang w:val="en-GB"/>
              </w:rPr>
            </w:pPr>
            <w:r w:rsidRPr="006474D5">
              <w:rPr>
                <w:rFonts w:ascii="Times New Roman" w:hAnsi="Times New Roman"/>
                <w:szCs w:val="22"/>
              </w:rPr>
              <w:lastRenderedPageBreak/>
              <w:t>Formation :</w:t>
            </w:r>
          </w:p>
        </w:tc>
        <w:tc>
          <w:tcPr>
            <w:tcW w:w="7740" w:type="dxa"/>
            <w:gridSpan w:val="2"/>
          </w:tcPr>
          <w:p w:rsidR="006474D5" w:rsidRPr="004F2CBA" w:rsidRDefault="006474D5" w:rsidP="006474D5">
            <w:pPr>
              <w:numPr>
                <w:ilvl w:val="0"/>
                <w:numId w:val="44"/>
              </w:numPr>
              <w:rPr>
                <w:rFonts w:ascii="Times New Roman" w:hAnsi="Times New Roman"/>
                <w:iCs/>
                <w:szCs w:val="22"/>
                <w:lang w:val="es-ES_tradnl"/>
              </w:rPr>
            </w:pPr>
            <w:r w:rsidRPr="006474D5">
              <w:rPr>
                <w:rFonts w:ascii="Times New Roman" w:hAnsi="Times New Roman"/>
                <w:szCs w:val="22"/>
              </w:rPr>
              <w:t>Diplôme de troisième cycle en matière de développement énergétique / d'énergie renouvelable.</w:t>
            </w:r>
          </w:p>
          <w:p w:rsidR="006474D5" w:rsidRPr="004F2CBA" w:rsidRDefault="006474D5" w:rsidP="002E0DE0">
            <w:pPr>
              <w:tabs>
                <w:tab w:val="left" w:pos="72"/>
              </w:tabs>
              <w:ind w:left="342"/>
              <w:rPr>
                <w:rFonts w:ascii="Times New Roman" w:hAnsi="Times New Roman"/>
                <w:i/>
                <w:iCs/>
                <w:lang w:val="es-ES_tradnl"/>
              </w:rPr>
            </w:pPr>
          </w:p>
        </w:tc>
      </w:tr>
      <w:tr w:rsidR="006474D5" w:rsidRPr="006474D5" w:rsidTr="002E0DE0">
        <w:trPr>
          <w:trHeight w:val="3140"/>
        </w:trPr>
        <w:tc>
          <w:tcPr>
            <w:tcW w:w="2520" w:type="dxa"/>
          </w:tcPr>
          <w:p w:rsidR="006474D5" w:rsidRPr="004F2CBA" w:rsidRDefault="006474D5" w:rsidP="002E0DE0">
            <w:pPr>
              <w:rPr>
                <w:rFonts w:ascii="Times New Roman" w:hAnsi="Times New Roman"/>
                <w:lang w:val="es-ES_tradnl"/>
              </w:rPr>
            </w:pPr>
          </w:p>
          <w:p w:rsidR="006474D5" w:rsidRPr="006474D5" w:rsidRDefault="006474D5" w:rsidP="002E0DE0">
            <w:pPr>
              <w:rPr>
                <w:rFonts w:ascii="Times New Roman" w:hAnsi="Times New Roman"/>
                <w:lang w:val="en-GB"/>
              </w:rPr>
            </w:pPr>
            <w:r w:rsidRPr="006474D5">
              <w:rPr>
                <w:rFonts w:ascii="Times New Roman" w:hAnsi="Times New Roman"/>
                <w:szCs w:val="22"/>
              </w:rPr>
              <w:t>Expérience :</w:t>
            </w:r>
          </w:p>
        </w:tc>
        <w:tc>
          <w:tcPr>
            <w:tcW w:w="7740" w:type="dxa"/>
            <w:gridSpan w:val="2"/>
          </w:tcPr>
          <w:p w:rsidR="006474D5" w:rsidRPr="004F2CBA" w:rsidRDefault="006474D5" w:rsidP="006474D5">
            <w:pPr>
              <w:numPr>
                <w:ilvl w:val="0"/>
                <w:numId w:val="42"/>
              </w:numPr>
              <w:tabs>
                <w:tab w:val="left" w:pos="72"/>
                <w:tab w:val="left" w:pos="312"/>
              </w:tabs>
              <w:spacing w:after="0"/>
              <w:jc w:val="left"/>
              <w:rPr>
                <w:rFonts w:ascii="Times New Roman" w:hAnsi="Times New Roman"/>
                <w:iCs/>
                <w:szCs w:val="22"/>
                <w:lang w:val="es-ES_tradnl"/>
              </w:rPr>
            </w:pPr>
            <w:r w:rsidRPr="006474D5">
              <w:rPr>
                <w:rFonts w:ascii="Times New Roman" w:hAnsi="Times New Roman"/>
                <w:szCs w:val="22"/>
              </w:rPr>
              <w:t>Un minimum de dix ans d'expérience dans la mise en œuvre de projets en matière d'énergie renouvelable, associée à une connaissance de l'analyse économique ainsi que des cadres politiques, réglemen</w:t>
            </w:r>
            <w:r w:rsidR="009C4326">
              <w:rPr>
                <w:rFonts w:ascii="Times New Roman" w:hAnsi="Times New Roman"/>
                <w:szCs w:val="22"/>
              </w:rPr>
              <w:t>taires et institutionnels </w:t>
            </w:r>
            <w:r w:rsidRPr="006474D5">
              <w:rPr>
                <w:rFonts w:ascii="Times New Roman" w:hAnsi="Times New Roman"/>
                <w:szCs w:val="22"/>
              </w:rPr>
              <w:t>;</w:t>
            </w:r>
          </w:p>
          <w:p w:rsidR="006474D5" w:rsidRPr="004F2CBA" w:rsidRDefault="006474D5" w:rsidP="006474D5">
            <w:pPr>
              <w:numPr>
                <w:ilvl w:val="0"/>
                <w:numId w:val="42"/>
              </w:numPr>
              <w:tabs>
                <w:tab w:val="left" w:pos="72"/>
                <w:tab w:val="left" w:pos="312"/>
              </w:tabs>
              <w:spacing w:after="0"/>
              <w:jc w:val="left"/>
              <w:rPr>
                <w:rFonts w:ascii="Times New Roman" w:hAnsi="Times New Roman"/>
                <w:iCs/>
                <w:szCs w:val="22"/>
                <w:lang w:val="es-ES_tradnl"/>
              </w:rPr>
            </w:pPr>
            <w:r w:rsidRPr="006474D5">
              <w:rPr>
                <w:rFonts w:ascii="Times New Roman" w:hAnsi="Times New Roman"/>
                <w:szCs w:val="22"/>
              </w:rPr>
              <w:t>Une bonne connaissance et une expérience des modalités opérationnelles et des questions de changement climatique propres au FEM, de même qu'une compréhension des procédures du PNUD-FEM seraient un avantage ;</w:t>
            </w:r>
          </w:p>
          <w:p w:rsidR="006474D5" w:rsidRPr="00865A23" w:rsidRDefault="006474D5" w:rsidP="006474D5">
            <w:pPr>
              <w:numPr>
                <w:ilvl w:val="0"/>
                <w:numId w:val="42"/>
              </w:numPr>
              <w:tabs>
                <w:tab w:val="left" w:pos="72"/>
                <w:tab w:val="left" w:pos="312"/>
              </w:tabs>
              <w:spacing w:after="0"/>
              <w:jc w:val="left"/>
              <w:rPr>
                <w:rFonts w:ascii="Times New Roman" w:hAnsi="Times New Roman"/>
                <w:iCs/>
                <w:szCs w:val="22"/>
              </w:rPr>
            </w:pPr>
            <w:r w:rsidRPr="006474D5">
              <w:rPr>
                <w:rFonts w:ascii="Times New Roman" w:hAnsi="Times New Roman"/>
                <w:szCs w:val="22"/>
              </w:rPr>
              <w:t>Connaissance des règles, règlements et pro</w:t>
            </w:r>
            <w:r w:rsidR="009C4326">
              <w:rPr>
                <w:rFonts w:ascii="Times New Roman" w:hAnsi="Times New Roman"/>
                <w:szCs w:val="22"/>
              </w:rPr>
              <w:t>cédures administratives du PNUD </w:t>
            </w:r>
            <w:r w:rsidRPr="006474D5">
              <w:rPr>
                <w:rFonts w:ascii="Times New Roman" w:hAnsi="Times New Roman"/>
                <w:szCs w:val="22"/>
              </w:rPr>
              <w:t>;</w:t>
            </w:r>
          </w:p>
          <w:p w:rsidR="006474D5" w:rsidRPr="00865A23" w:rsidRDefault="006474D5" w:rsidP="006474D5">
            <w:pPr>
              <w:numPr>
                <w:ilvl w:val="0"/>
                <w:numId w:val="42"/>
              </w:numPr>
              <w:tabs>
                <w:tab w:val="left" w:pos="72"/>
                <w:tab w:val="left" w:pos="312"/>
              </w:tabs>
              <w:spacing w:after="0"/>
              <w:jc w:val="left"/>
              <w:rPr>
                <w:rFonts w:ascii="Times New Roman" w:hAnsi="Times New Roman"/>
                <w:iCs/>
                <w:szCs w:val="22"/>
              </w:rPr>
            </w:pPr>
            <w:r w:rsidRPr="006474D5">
              <w:rPr>
                <w:rFonts w:ascii="Times New Roman" w:hAnsi="Times New Roman"/>
                <w:szCs w:val="22"/>
              </w:rPr>
              <w:t>Connaissance et expérience antérieures des facteurs politiques, sociaux et environnementaux ainsi que des problèmes liés au développement énergétique et à l'atténuation du changement climatique dans les pays africains en voie de développement ;</w:t>
            </w:r>
          </w:p>
          <w:p w:rsidR="006474D5" w:rsidRPr="00865A23" w:rsidRDefault="006474D5" w:rsidP="006474D5">
            <w:pPr>
              <w:numPr>
                <w:ilvl w:val="0"/>
                <w:numId w:val="42"/>
              </w:numPr>
              <w:tabs>
                <w:tab w:val="left" w:pos="72"/>
                <w:tab w:val="left" w:pos="312"/>
              </w:tabs>
              <w:spacing w:after="0"/>
              <w:jc w:val="left"/>
              <w:rPr>
                <w:rFonts w:ascii="Times New Roman" w:hAnsi="Times New Roman"/>
                <w:iCs/>
                <w:szCs w:val="22"/>
              </w:rPr>
            </w:pPr>
            <w:r w:rsidRPr="006474D5">
              <w:rPr>
                <w:rFonts w:ascii="Times New Roman" w:hAnsi="Times New Roman"/>
                <w:szCs w:val="22"/>
              </w:rPr>
              <w:t>Maîtrise de l'informatique, en particulier relative aux programmes logiciels de bureautique professionnelle ;</w:t>
            </w:r>
          </w:p>
          <w:p w:rsidR="006474D5" w:rsidRPr="00865A23" w:rsidRDefault="006474D5" w:rsidP="006474D5">
            <w:pPr>
              <w:numPr>
                <w:ilvl w:val="0"/>
                <w:numId w:val="42"/>
              </w:numPr>
              <w:tabs>
                <w:tab w:val="left" w:pos="72"/>
                <w:tab w:val="left" w:pos="312"/>
              </w:tabs>
              <w:spacing w:after="0"/>
              <w:jc w:val="left"/>
              <w:rPr>
                <w:rFonts w:ascii="Times New Roman" w:hAnsi="Times New Roman"/>
                <w:b/>
                <w:iCs/>
              </w:rPr>
            </w:pPr>
            <w:r w:rsidRPr="006474D5">
              <w:rPr>
                <w:rFonts w:ascii="Times New Roman" w:hAnsi="Times New Roman"/>
                <w:szCs w:val="22"/>
              </w:rPr>
              <w:t>Excellentes compétences de rédaction et de communication.</w:t>
            </w:r>
          </w:p>
        </w:tc>
      </w:tr>
      <w:tr w:rsidR="006474D5" w:rsidRPr="006474D5" w:rsidTr="002E0DE0">
        <w:trPr>
          <w:trHeight w:val="230"/>
        </w:trPr>
        <w:tc>
          <w:tcPr>
            <w:tcW w:w="2520" w:type="dxa"/>
          </w:tcPr>
          <w:p w:rsidR="006474D5" w:rsidRPr="00865A23" w:rsidRDefault="006474D5" w:rsidP="002E0DE0">
            <w:pPr>
              <w:rPr>
                <w:rFonts w:ascii="Times New Roman" w:hAnsi="Times New Roman"/>
              </w:rPr>
            </w:pPr>
          </w:p>
          <w:p w:rsidR="006474D5" w:rsidRPr="006474D5" w:rsidRDefault="006474D5" w:rsidP="002E0DE0">
            <w:pPr>
              <w:rPr>
                <w:rFonts w:ascii="Times New Roman" w:hAnsi="Times New Roman"/>
                <w:lang w:val="en-GB"/>
              </w:rPr>
            </w:pPr>
            <w:r w:rsidRPr="006474D5">
              <w:rPr>
                <w:rFonts w:ascii="Times New Roman" w:hAnsi="Times New Roman"/>
                <w:szCs w:val="22"/>
              </w:rPr>
              <w:t>Langues requises :</w:t>
            </w:r>
          </w:p>
        </w:tc>
        <w:tc>
          <w:tcPr>
            <w:tcW w:w="7740" w:type="dxa"/>
            <w:gridSpan w:val="2"/>
          </w:tcPr>
          <w:p w:rsidR="006474D5" w:rsidRPr="006474D5" w:rsidRDefault="006474D5" w:rsidP="002E0DE0">
            <w:pPr>
              <w:tabs>
                <w:tab w:val="left" w:pos="312"/>
              </w:tabs>
              <w:ind w:left="312"/>
              <w:rPr>
                <w:rFonts w:ascii="Times New Roman" w:hAnsi="Times New Roman"/>
                <w:iCs/>
                <w:lang w:val="en-GB"/>
              </w:rPr>
            </w:pPr>
          </w:p>
          <w:p w:rsidR="006474D5" w:rsidRPr="004F2CBA" w:rsidRDefault="006474D5" w:rsidP="006474D5">
            <w:pPr>
              <w:numPr>
                <w:ilvl w:val="0"/>
                <w:numId w:val="43"/>
              </w:numPr>
              <w:tabs>
                <w:tab w:val="left" w:pos="312"/>
              </w:tabs>
              <w:spacing w:after="0"/>
              <w:jc w:val="left"/>
              <w:rPr>
                <w:rFonts w:ascii="Times New Roman" w:hAnsi="Times New Roman"/>
                <w:iCs/>
                <w:lang w:val="es-ES_tradnl"/>
              </w:rPr>
            </w:pPr>
            <w:r w:rsidRPr="006474D5">
              <w:rPr>
                <w:rFonts w:ascii="Times New Roman" w:hAnsi="Times New Roman"/>
                <w:szCs w:val="22"/>
              </w:rPr>
              <w:t>Anglais excellent tant à l'oral qu'à l'écrit. La connaissance du français sera un avantage.</w:t>
            </w:r>
          </w:p>
        </w:tc>
      </w:tr>
    </w:tbl>
    <w:p w:rsidR="006474D5" w:rsidRPr="004F2CBA" w:rsidRDefault="006474D5" w:rsidP="006474D5">
      <w:pPr>
        <w:rPr>
          <w:rFonts w:ascii="Times New Roman" w:hAnsi="Times New Roman"/>
          <w:b/>
          <w:szCs w:val="22"/>
          <w:lang w:val="es-ES_tradnl"/>
        </w:rPr>
      </w:pPr>
    </w:p>
    <w:p w:rsidR="006474D5" w:rsidRPr="004F2CBA" w:rsidRDefault="006474D5" w:rsidP="006474D5">
      <w:pPr>
        <w:rPr>
          <w:rFonts w:ascii="Times New Roman" w:hAnsi="Times New Roman"/>
          <w:b/>
          <w:szCs w:val="22"/>
          <w:lang w:val="es-ES_tradnl"/>
        </w:rPr>
      </w:pPr>
    </w:p>
    <w:p w:rsidR="006474D5" w:rsidRPr="004F2CBA" w:rsidRDefault="006474D5" w:rsidP="006474D5">
      <w:pPr>
        <w:rPr>
          <w:rFonts w:ascii="Times New Roman" w:hAnsi="Times New Roman"/>
          <w:b/>
          <w:szCs w:val="22"/>
          <w:lang w:val="es-ES_tradnl"/>
        </w:rPr>
      </w:pPr>
    </w:p>
    <w:p w:rsidR="006474D5" w:rsidRPr="004F2CBA" w:rsidRDefault="006474D5" w:rsidP="006474D5">
      <w:pPr>
        <w:keepNext/>
        <w:outlineLvl w:val="1"/>
        <w:rPr>
          <w:rFonts w:ascii="Times New Roman" w:hAnsi="Times New Roman"/>
          <w:b/>
          <w:szCs w:val="22"/>
          <w:lang w:val="es-ES_tradnl"/>
        </w:rPr>
      </w:pPr>
      <w:bookmarkStart w:id="101" w:name="_Toc280012168"/>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6474D5">
      <w:pPr>
        <w:rPr>
          <w:rFonts w:ascii="Times New Roman" w:hAnsi="Times New Roman"/>
          <w:lang w:val="es-ES_tradnl"/>
        </w:rPr>
      </w:pPr>
    </w:p>
    <w:p w:rsidR="006474D5" w:rsidRPr="004F2CBA" w:rsidRDefault="006474D5" w:rsidP="0001740A">
      <w:pPr>
        <w:pStyle w:val="Titre1"/>
        <w:rPr>
          <w:sz w:val="22"/>
          <w:szCs w:val="22"/>
          <w:lang w:val="es-ES_tradnl" w:eastAsia="en-US"/>
        </w:rPr>
      </w:pPr>
      <w:bookmarkStart w:id="102" w:name="_Toc418144260"/>
      <w:bookmarkStart w:id="103" w:name="_Toc298586309"/>
      <w:bookmarkStart w:id="104" w:name="_Toc262924505"/>
      <w:bookmarkEnd w:id="101"/>
      <w:r w:rsidRPr="004F2CBA">
        <w:rPr>
          <w:sz w:val="22"/>
          <w:szCs w:val="22"/>
          <w:lang w:val="es-ES_tradnl" w:eastAsia="en-US"/>
        </w:rPr>
        <w:lastRenderedPageBreak/>
        <w:t>A</w:t>
      </w:r>
      <w:r w:rsidR="00F9069C" w:rsidRPr="004F2CBA">
        <w:rPr>
          <w:sz w:val="22"/>
          <w:szCs w:val="22"/>
          <w:lang w:val="es-ES_tradnl" w:eastAsia="en-US"/>
        </w:rPr>
        <w:t>NNEXE</w:t>
      </w:r>
      <w:r w:rsidRPr="004F2CBA">
        <w:rPr>
          <w:sz w:val="22"/>
          <w:szCs w:val="22"/>
          <w:lang w:val="es-ES_tradnl" w:eastAsia="en-US"/>
        </w:rPr>
        <w:t xml:space="preserve"> 3 : Calcul des émissions de GES</w:t>
      </w:r>
      <w:bookmarkEnd w:id="102"/>
      <w:bookmarkEnd w:id="103"/>
      <w:r w:rsidRPr="004F2CBA">
        <w:rPr>
          <w:sz w:val="22"/>
          <w:szCs w:val="22"/>
          <w:lang w:val="es-ES_tradnl" w:eastAsia="en-US"/>
        </w:rPr>
        <w:t xml:space="preserve"> </w:t>
      </w:r>
      <w:bookmarkEnd w:id="99"/>
      <w:bookmarkEnd w:id="100"/>
      <w:bookmarkEnd w:id="104"/>
    </w:p>
    <w:p w:rsidR="006474D5" w:rsidRPr="004F2CBA" w:rsidRDefault="006474D5" w:rsidP="006474D5">
      <w:pPr>
        <w:spacing w:after="120"/>
        <w:ind w:left="-450" w:right="-698"/>
        <w:rPr>
          <w:rFonts w:ascii="Times New Roman" w:hAnsi="Times New Roman"/>
          <w:szCs w:val="22"/>
        </w:rPr>
      </w:pPr>
      <w:r w:rsidRPr="006474D5">
        <w:rPr>
          <w:rFonts w:ascii="Times New Roman" w:hAnsi="Times New Roman"/>
          <w:szCs w:val="22"/>
        </w:rPr>
        <w:t>Il est prévu que l'approbation du projet devrait intervenir à temps pour commencer les activités à la mi-2015. Ce scénario prend pour hypothèse l’installation de 400 digesteurs domestiques (6 m</w:t>
      </w:r>
      <w:r w:rsidRPr="006474D5">
        <w:rPr>
          <w:rFonts w:ascii="Times New Roman" w:hAnsi="Times New Roman"/>
          <w:szCs w:val="22"/>
          <w:vertAlign w:val="superscript"/>
        </w:rPr>
        <w:t>3</w:t>
      </w:r>
      <w:r w:rsidRPr="006474D5">
        <w:rPr>
          <w:rFonts w:ascii="Times New Roman" w:hAnsi="Times New Roman"/>
          <w:szCs w:val="22"/>
        </w:rPr>
        <w:t xml:space="preserve">) au cours de l'An 1, 700 au cours de l'An 2 et 900 </w:t>
      </w:r>
      <w:r w:rsidR="009C4326">
        <w:rPr>
          <w:rFonts w:ascii="Times New Roman" w:hAnsi="Times New Roman"/>
          <w:szCs w:val="22"/>
        </w:rPr>
        <w:t>au cours de l'An 3 (Tableau 4).</w:t>
      </w:r>
      <w:r w:rsidRPr="006474D5">
        <w:rPr>
          <w:rFonts w:ascii="Times New Roman" w:hAnsi="Times New Roman"/>
          <w:szCs w:val="22"/>
        </w:rPr>
        <w:t xml:space="preserve"> L'An 4, qui sera la dernière année du projet, sera consacrée à la consolidation des gains et de la dynamique générés au cours des années précédentes afin d'élargir le programme de digesteur domestique. Pour ce qui concerne les 10 digesteurs pilotes de gros volume (20 m</w:t>
      </w:r>
      <w:r w:rsidRPr="006474D5">
        <w:rPr>
          <w:rFonts w:ascii="Times New Roman" w:hAnsi="Times New Roman"/>
          <w:szCs w:val="22"/>
          <w:vertAlign w:val="superscript"/>
        </w:rPr>
        <w:t>3</w:t>
      </w:r>
      <w:r w:rsidRPr="006474D5">
        <w:rPr>
          <w:rFonts w:ascii="Times New Roman" w:hAnsi="Times New Roman"/>
          <w:szCs w:val="22"/>
        </w:rPr>
        <w:t xml:space="preserve"> ou plus) (Tableau 5), il est prévu que 5 d'entre eux soient installés au cours de l'An 2 du projet et les 5 restants au cours de l'An 3. Ainsi, au début de l'An 4 du projet, on prévoit que l'ensemble des 2 000 digesteurs domestiques ainsi que les 10 digesteurs pilotes de gros volume seront opérationnels.</w:t>
      </w:r>
    </w:p>
    <w:p w:rsidR="006474D5" w:rsidRPr="004F2CBA" w:rsidRDefault="006474D5" w:rsidP="006474D5">
      <w:pPr>
        <w:spacing w:after="120"/>
        <w:ind w:left="-450" w:right="-698"/>
        <w:rPr>
          <w:rFonts w:ascii="Times New Roman" w:hAnsi="Times New Roman"/>
          <w:szCs w:val="22"/>
          <w:lang w:val="es-ES_tradnl"/>
        </w:rPr>
      </w:pPr>
      <w:r w:rsidRPr="006474D5">
        <w:rPr>
          <w:rFonts w:ascii="Times New Roman" w:hAnsi="Times New Roman"/>
          <w:szCs w:val="22"/>
        </w:rPr>
        <w:t>Dans le scénario précédent, il estime que 1 200 m</w:t>
      </w:r>
      <w:r w:rsidRPr="006474D5">
        <w:rPr>
          <w:rFonts w:ascii="Times New Roman" w:hAnsi="Times New Roman"/>
          <w:szCs w:val="22"/>
          <w:vertAlign w:val="superscript"/>
        </w:rPr>
        <w:t>3</w:t>
      </w:r>
      <w:r w:rsidRPr="006474D5">
        <w:rPr>
          <w:rFonts w:ascii="Times New Roman" w:hAnsi="Times New Roman"/>
          <w:szCs w:val="22"/>
        </w:rPr>
        <w:t xml:space="preserve"> de biogaz/jour devraient être produits et ce seulement par les digesteurs domestiques d'ici la fin de l'An 1, soit 4 580 m</w:t>
      </w:r>
      <w:r w:rsidRPr="006474D5">
        <w:rPr>
          <w:rFonts w:ascii="Times New Roman" w:hAnsi="Times New Roman"/>
          <w:szCs w:val="22"/>
          <w:vertAlign w:val="superscript"/>
        </w:rPr>
        <w:t>3</w:t>
      </w:r>
      <w:r w:rsidRPr="006474D5">
        <w:rPr>
          <w:rFonts w:ascii="Times New Roman" w:hAnsi="Times New Roman"/>
          <w:szCs w:val="22"/>
        </w:rPr>
        <w:t xml:space="preserve"> de biogaz/jour par les digesteurs domestiques et de gros volume d'ici la fin de l'An 2, et 9 545 m</w:t>
      </w:r>
      <w:r w:rsidRPr="006474D5">
        <w:rPr>
          <w:rFonts w:ascii="Times New Roman" w:hAnsi="Times New Roman"/>
          <w:szCs w:val="22"/>
          <w:vertAlign w:val="superscript"/>
        </w:rPr>
        <w:t>3</w:t>
      </w:r>
      <w:r w:rsidRPr="006474D5">
        <w:rPr>
          <w:rFonts w:ascii="Times New Roman" w:hAnsi="Times New Roman"/>
          <w:szCs w:val="22"/>
        </w:rPr>
        <w:t xml:space="preserve"> de biogaz/jour, à nouveau, par les digesteurs domestiques et de gros volume, d'ici la fin de l'An 3, et enfin, 12 230 m</w:t>
      </w:r>
      <w:r w:rsidRPr="006474D5">
        <w:rPr>
          <w:rFonts w:ascii="Times New Roman" w:hAnsi="Times New Roman"/>
          <w:szCs w:val="22"/>
          <w:vertAlign w:val="superscript"/>
        </w:rPr>
        <w:t>3</w:t>
      </w:r>
      <w:r w:rsidRPr="006474D5">
        <w:rPr>
          <w:rFonts w:ascii="Times New Roman" w:hAnsi="Times New Roman"/>
          <w:szCs w:val="22"/>
        </w:rPr>
        <w:t xml:space="preserve"> de biogaz/jour par les digesteurs domestiques et de gros volume au cours de l'An 4 du projet. Donc, d'ici l'achèvement du projet, quelque 10 051 575 m</w:t>
      </w:r>
      <w:r w:rsidRPr="006474D5">
        <w:rPr>
          <w:rFonts w:ascii="Times New Roman" w:hAnsi="Times New Roman"/>
          <w:szCs w:val="22"/>
          <w:vertAlign w:val="superscript"/>
        </w:rPr>
        <w:t>3</w:t>
      </w:r>
      <w:r w:rsidRPr="006474D5">
        <w:rPr>
          <w:rFonts w:ascii="Times New Roman" w:hAnsi="Times New Roman"/>
          <w:szCs w:val="22"/>
        </w:rPr>
        <w:t xml:space="preserve"> de biogaz devraient être produits et une production annuelle de biogaz de 4 463 950 m</w:t>
      </w:r>
      <w:r w:rsidRPr="006474D5">
        <w:rPr>
          <w:rFonts w:ascii="Times New Roman" w:hAnsi="Times New Roman"/>
          <w:szCs w:val="22"/>
          <w:vertAlign w:val="superscript"/>
        </w:rPr>
        <w:t>3</w:t>
      </w:r>
      <w:r w:rsidRPr="006474D5">
        <w:rPr>
          <w:rFonts w:ascii="Times New Roman" w:hAnsi="Times New Roman"/>
          <w:szCs w:val="22"/>
        </w:rPr>
        <w:t xml:space="preserve"> être assurée au cours d'une durée de vie estimée de 20 ans des digesteurs installés dans le cadre du projet, en ne prenant pas en compte les digesteurs supplémentaires susceptibles d’être installés en tirant parti de la dynamique suscitée par le projet. Toute l'énergie obtenue grâce à la production de biogaz, si ceci n'avait pas été mis en œuvre, aurait sinon été obtenue en brûlant du bois de chauffage. Grâce à l'utilisation du biogaz, la déforestation sera non seulement réduite mais les forêts seront sauvegardées pour continuer de servir de « puits de carbone ». </w:t>
      </w:r>
    </w:p>
    <w:p w:rsidR="006474D5" w:rsidRPr="004F2CBA" w:rsidRDefault="006474D5" w:rsidP="006474D5">
      <w:pPr>
        <w:spacing w:after="120"/>
        <w:ind w:left="-450" w:right="-698"/>
        <w:rPr>
          <w:rFonts w:ascii="Times New Roman" w:hAnsi="Times New Roman"/>
          <w:szCs w:val="22"/>
          <w:lang w:val="es-ES_tradnl"/>
        </w:rPr>
      </w:pPr>
      <w:r w:rsidRPr="006474D5">
        <w:rPr>
          <w:rFonts w:ascii="Times New Roman" w:hAnsi="Times New Roman"/>
          <w:szCs w:val="22"/>
        </w:rPr>
        <w:t>Le pouvoir calorifique du biogaz est variable (en fonction du contenu en méthane) de 20 à 26 MJ/m</w:t>
      </w:r>
      <w:r w:rsidRPr="006474D5">
        <w:rPr>
          <w:rFonts w:ascii="Times New Roman" w:hAnsi="Times New Roman"/>
          <w:szCs w:val="22"/>
          <w:vertAlign w:val="superscript"/>
        </w:rPr>
        <w:t>3</w:t>
      </w:r>
      <w:r w:rsidRPr="006474D5">
        <w:rPr>
          <w:rFonts w:ascii="Times New Roman" w:hAnsi="Times New Roman"/>
          <w:szCs w:val="22"/>
        </w:rPr>
        <w:t xml:space="preserve"> (Source : Agri-Food et Biosciences Institute, R.U., août 2010) et aux fins du calcul dans le cadre du présent projet, la valeur médiane de 23 MJ/m</w:t>
      </w:r>
      <w:r w:rsidRPr="006474D5">
        <w:rPr>
          <w:rFonts w:ascii="Times New Roman" w:hAnsi="Times New Roman"/>
          <w:szCs w:val="22"/>
          <w:vertAlign w:val="superscript"/>
        </w:rPr>
        <w:t>3</w:t>
      </w:r>
      <w:r w:rsidRPr="006474D5">
        <w:rPr>
          <w:rFonts w:ascii="Times New Roman" w:hAnsi="Times New Roman"/>
          <w:szCs w:val="22"/>
        </w:rPr>
        <w:t xml:space="preserve"> est retenue. En outre, conformément aux directives GIEC (Groupe d'experts intergouvernemental sur l'évolution du climat), le potentiel d'atténuation du réchauffement mondial par le biogaz est à hauteur de 81,5 g/MJ ou équivalent à 1,87 kg/m</w:t>
      </w:r>
      <w:r w:rsidRPr="006474D5">
        <w:rPr>
          <w:rFonts w:ascii="Times New Roman" w:hAnsi="Times New Roman"/>
          <w:szCs w:val="22"/>
          <w:vertAlign w:val="superscript"/>
        </w:rPr>
        <w:t>3</w:t>
      </w:r>
      <w:r w:rsidRPr="006474D5">
        <w:rPr>
          <w:rFonts w:ascii="Times New Roman" w:hAnsi="Times New Roman"/>
          <w:szCs w:val="22"/>
        </w:rPr>
        <w:t>. Par conséquent, pendant la durée du projet sur 4 ans, quelque 19 000 tonnes de CO</w:t>
      </w:r>
      <w:r w:rsidRPr="006474D5">
        <w:rPr>
          <w:rFonts w:ascii="Times New Roman" w:hAnsi="Times New Roman"/>
          <w:szCs w:val="22"/>
          <w:vertAlign w:val="subscript"/>
        </w:rPr>
        <w:t xml:space="preserve">2 </w:t>
      </w:r>
      <w:r w:rsidRPr="006474D5">
        <w:rPr>
          <w:rFonts w:ascii="Times New Roman" w:hAnsi="Times New Roman"/>
          <w:szCs w:val="22"/>
        </w:rPr>
        <w:t>(10 051 575 m3 x 1,87 kg/m</w:t>
      </w:r>
      <w:r w:rsidRPr="006474D5">
        <w:rPr>
          <w:rFonts w:ascii="Times New Roman" w:hAnsi="Times New Roman"/>
          <w:szCs w:val="22"/>
          <w:vertAlign w:val="superscript"/>
        </w:rPr>
        <w:t>3</w:t>
      </w:r>
      <w:r w:rsidRPr="006474D5">
        <w:rPr>
          <w:rFonts w:ascii="Times New Roman" w:hAnsi="Times New Roman"/>
          <w:szCs w:val="22"/>
        </w:rPr>
        <w:t>) devraient être évitées, équivalant à 139 $ des fonds du FEM par tCO</w:t>
      </w:r>
      <w:r w:rsidRPr="006474D5">
        <w:rPr>
          <w:rFonts w:ascii="Times New Roman" w:hAnsi="Times New Roman"/>
          <w:szCs w:val="22"/>
          <w:vertAlign w:val="subscript"/>
        </w:rPr>
        <w:t>2</w:t>
      </w:r>
      <w:r w:rsidRPr="006474D5">
        <w:rPr>
          <w:rFonts w:ascii="Times New Roman" w:hAnsi="Times New Roman"/>
          <w:szCs w:val="22"/>
        </w:rPr>
        <w:t>. Cependant, ces digesteurs à biogaz continueront chaq</w:t>
      </w:r>
      <w:r w:rsidR="006D16A1">
        <w:rPr>
          <w:rFonts w:ascii="Times New Roman" w:hAnsi="Times New Roman"/>
          <w:szCs w:val="22"/>
        </w:rPr>
        <w:t xml:space="preserve">ue année à éviter l’émission de </w:t>
      </w:r>
      <w:r w:rsidRPr="006474D5">
        <w:rPr>
          <w:rFonts w:ascii="Times New Roman" w:hAnsi="Times New Roman"/>
          <w:szCs w:val="22"/>
        </w:rPr>
        <w:t>8 350 tCO</w:t>
      </w:r>
      <w:r w:rsidRPr="006474D5">
        <w:rPr>
          <w:rFonts w:ascii="Times New Roman" w:hAnsi="Times New Roman"/>
          <w:szCs w:val="22"/>
          <w:vertAlign w:val="subscript"/>
        </w:rPr>
        <w:t>2</w:t>
      </w:r>
      <w:r w:rsidRPr="006474D5">
        <w:rPr>
          <w:rFonts w:ascii="Times New Roman" w:hAnsi="Times New Roman"/>
          <w:szCs w:val="22"/>
        </w:rPr>
        <w:t xml:space="preserve"> (4 463 950 m</w:t>
      </w:r>
      <w:r w:rsidRPr="006474D5">
        <w:rPr>
          <w:rFonts w:ascii="Times New Roman" w:hAnsi="Times New Roman"/>
          <w:szCs w:val="22"/>
          <w:vertAlign w:val="superscript"/>
        </w:rPr>
        <w:t>3</w:t>
      </w:r>
      <w:r w:rsidRPr="006474D5">
        <w:rPr>
          <w:rFonts w:ascii="Times New Roman" w:hAnsi="Times New Roman"/>
          <w:szCs w:val="22"/>
        </w:rPr>
        <w:t xml:space="preserve"> x 1,87 kg/m</w:t>
      </w:r>
      <w:r w:rsidRPr="006474D5">
        <w:rPr>
          <w:rFonts w:ascii="Times New Roman" w:hAnsi="Times New Roman"/>
          <w:szCs w:val="22"/>
          <w:vertAlign w:val="superscript"/>
        </w:rPr>
        <w:t>3</w:t>
      </w:r>
      <w:r w:rsidRPr="006474D5">
        <w:rPr>
          <w:rFonts w:ascii="Times New Roman" w:hAnsi="Times New Roman"/>
          <w:szCs w:val="22"/>
        </w:rPr>
        <w:t>) durant les 16 à 18 années restantes de leur durée de vie utile. Si l'on examine la durée de vie de 20 ans des digesteurs à biogaz affectés pour une installation pendant la durée du projet, ils auraient permis d'éviter 179 000 tCO</w:t>
      </w:r>
      <w:r w:rsidRPr="006474D5">
        <w:rPr>
          <w:rFonts w:ascii="Times New Roman" w:hAnsi="Times New Roman"/>
          <w:szCs w:val="22"/>
          <w:vertAlign w:val="subscript"/>
        </w:rPr>
        <w:t>2</w:t>
      </w:r>
      <w:r w:rsidRPr="006474D5">
        <w:rPr>
          <w:rFonts w:ascii="Times New Roman" w:hAnsi="Times New Roman"/>
          <w:szCs w:val="22"/>
        </w:rPr>
        <w:t>, équivalant à 14,79 $ des fonds du FEM par tCO</w:t>
      </w:r>
      <w:r w:rsidRPr="006474D5">
        <w:rPr>
          <w:rFonts w:ascii="Times New Roman" w:hAnsi="Times New Roman"/>
          <w:szCs w:val="22"/>
          <w:vertAlign w:val="subscript"/>
        </w:rPr>
        <w:t>2</w:t>
      </w:r>
      <w:r w:rsidRPr="006474D5">
        <w:rPr>
          <w:rFonts w:ascii="Times New Roman" w:hAnsi="Times New Roman"/>
          <w:szCs w:val="22"/>
        </w:rPr>
        <w:t>. De surcroît, il doit être considéré que le financement par le FEM permet de créer les conditions d'un lancement du marché du biogaz dans le pays, contribuant à mobiliser tant le gouvernement que le secteur privé. Il devrait</w:t>
      </w:r>
      <w:r w:rsidR="00C77FA3">
        <w:rPr>
          <w:rFonts w:ascii="Times New Roman" w:hAnsi="Times New Roman"/>
          <w:szCs w:val="22"/>
        </w:rPr>
        <w:t xml:space="preserve"> </w:t>
      </w:r>
      <w:r w:rsidRPr="006474D5">
        <w:rPr>
          <w:rFonts w:ascii="Times New Roman" w:hAnsi="Times New Roman"/>
          <w:szCs w:val="22"/>
        </w:rPr>
        <w:t xml:space="preserve">donc exister un potentiel significatif de réduction supplémentaire de GES « indirects », une fois que le marché aura atteint sa vitesse de croisière. </w:t>
      </w:r>
    </w:p>
    <w:p w:rsidR="006474D5" w:rsidRPr="004F2CBA" w:rsidRDefault="006474D5" w:rsidP="006474D5">
      <w:pPr>
        <w:spacing w:after="120"/>
        <w:ind w:left="-450" w:right="-698"/>
        <w:rPr>
          <w:rFonts w:ascii="Times New Roman" w:hAnsi="Times New Roman"/>
          <w:szCs w:val="22"/>
        </w:rPr>
      </w:pPr>
      <w:r w:rsidRPr="006474D5">
        <w:rPr>
          <w:rFonts w:ascii="Times New Roman" w:hAnsi="Times New Roman"/>
          <w:szCs w:val="22"/>
        </w:rPr>
        <w:t xml:space="preserve">Enfin, en prenant pour hypothèse un fort intérêt suscité par le biogaz pendant l'exécution du projet et un environnement propice à l'investissement en faveur du biogaz à la suite de celui-ci, il est extrêmement probable qu'encore plus de nouveaux digesteurs seront construits au cours d'une période de 10 ans postérieure au projet, excédant plusieurs fois le nombre de ceux installés durant la période de mise en œuvre du projet sur 4 ans. Ainsi, les estimations de la réduction des émissions indirectes postérieure au projet et portant uniquement sur les digesteurs à biogaz supplémentaires au cours de leur durée de vie de 20 ans </w:t>
      </w:r>
      <w:r w:rsidR="006D16A1">
        <w:rPr>
          <w:rFonts w:ascii="Times New Roman" w:hAnsi="Times New Roman"/>
          <w:szCs w:val="22"/>
        </w:rPr>
        <w:t>–</w:t>
      </w:r>
      <w:r w:rsidRPr="006474D5">
        <w:rPr>
          <w:rFonts w:ascii="Times New Roman" w:hAnsi="Times New Roman"/>
          <w:szCs w:val="22"/>
        </w:rPr>
        <w:t xml:space="preserve"> en se fondant sur un scénario politique prudent et un facteur de causalité du FEM de 80 % (approche descendante) – se montent à 961 000 tonnes de CO</w:t>
      </w:r>
      <w:r w:rsidRPr="006474D5">
        <w:rPr>
          <w:rFonts w:ascii="Times New Roman" w:hAnsi="Times New Roman"/>
          <w:szCs w:val="22"/>
          <w:vertAlign w:val="subscript"/>
        </w:rPr>
        <w:t>2</w:t>
      </w:r>
      <w:r w:rsidRPr="006474D5">
        <w:rPr>
          <w:rFonts w:ascii="Times New Roman" w:hAnsi="Times New Roman"/>
          <w:szCs w:val="22"/>
        </w:rPr>
        <w:t xml:space="preserve"> évitées, ce qui se traduit par un coût de réduction de 2,76 $ des fonds du FEM par tCO</w:t>
      </w:r>
      <w:r w:rsidRPr="006474D5">
        <w:rPr>
          <w:rFonts w:ascii="Times New Roman" w:hAnsi="Times New Roman"/>
          <w:szCs w:val="22"/>
          <w:vertAlign w:val="subscript"/>
        </w:rPr>
        <w:t>2</w:t>
      </w:r>
      <w:r w:rsidRPr="006474D5">
        <w:rPr>
          <w:rFonts w:ascii="Times New Roman" w:hAnsi="Times New Roman"/>
          <w:szCs w:val="22"/>
        </w:rPr>
        <w:t xml:space="preserve"> réduite. Dans le cas d'une approche ascendante, avec un facteur de répétition de 3, l'émission indirecte postérieure au projet évitée s'élèverait à 501 000 tonnes de CO</w:t>
      </w:r>
      <w:r w:rsidRPr="006474D5">
        <w:rPr>
          <w:rFonts w:ascii="Times New Roman" w:hAnsi="Times New Roman"/>
          <w:szCs w:val="22"/>
          <w:vertAlign w:val="subscript"/>
        </w:rPr>
        <w:t>2</w:t>
      </w:r>
      <w:r w:rsidRPr="006474D5">
        <w:rPr>
          <w:rFonts w:ascii="Times New Roman" w:hAnsi="Times New Roman"/>
          <w:szCs w:val="22"/>
        </w:rPr>
        <w:t>. Le Tableau 7 ci-après présente le total de la réduction des émissions CO2 directes et indirectes, pendant l'exécution du projet et au-delà.</w:t>
      </w:r>
    </w:p>
    <w:p w:rsidR="006474D5" w:rsidRPr="004F2CBA" w:rsidRDefault="006474D5" w:rsidP="006474D5">
      <w:pPr>
        <w:spacing w:after="120"/>
        <w:ind w:left="-450" w:right="-698"/>
        <w:rPr>
          <w:rFonts w:ascii="Times New Roman" w:hAnsi="Times New Roman"/>
          <w:szCs w:val="22"/>
          <w:lang w:val="es-ES_tradnl"/>
        </w:rPr>
      </w:pPr>
      <w:r w:rsidRPr="006474D5">
        <w:rPr>
          <w:rFonts w:ascii="Times New Roman" w:hAnsi="Times New Roman"/>
          <w:szCs w:val="22"/>
        </w:rPr>
        <w:t>Cependant, en raison d'une fuite potentielle de méthane, (Lignes directrices 2006 du GIEC pour les inventaires nationaux de gaz à effet de serre, Volume 4, Chapitre 10. Les lignes directrices indiquent une valeur par défaut de 10 % du potentiel maximum de production de méthane pour les fuites physiques provenant des digesteurs anaérobies). En faisant le choix de la prudence, les réductions des émissions de CO2 ont été baissées de 10 %, afin de prendre en compte toute fuite potentielle de méthane.</w:t>
      </w:r>
    </w:p>
    <w:p w:rsidR="006474D5" w:rsidRPr="004F2CBA" w:rsidRDefault="006474D5" w:rsidP="006474D5">
      <w:pPr>
        <w:spacing w:after="120"/>
        <w:ind w:left="-450" w:right="-698"/>
        <w:rPr>
          <w:rFonts w:ascii="Times New Roman" w:hAnsi="Times New Roman"/>
          <w:szCs w:val="22"/>
          <w:lang w:val="es-ES_tradnl"/>
        </w:rPr>
      </w:pPr>
      <w:r w:rsidRPr="006474D5">
        <w:rPr>
          <w:rFonts w:ascii="Times New Roman" w:hAnsi="Times New Roman"/>
          <w:szCs w:val="22"/>
        </w:rPr>
        <w:lastRenderedPageBreak/>
        <w:t>Il est prévu que ce projet résultera en 161 100 tCO</w:t>
      </w:r>
      <w:r w:rsidRPr="006474D5">
        <w:rPr>
          <w:rFonts w:ascii="Times New Roman" w:hAnsi="Times New Roman"/>
          <w:szCs w:val="22"/>
          <w:vertAlign w:val="subscript"/>
        </w:rPr>
        <w:t xml:space="preserve">2 </w:t>
      </w:r>
      <w:r w:rsidRPr="006474D5">
        <w:rPr>
          <w:rFonts w:ascii="Times New Roman" w:hAnsi="Times New Roman"/>
          <w:szCs w:val="22"/>
        </w:rPr>
        <w:t>à titre de réduction directe et en 864 900 tCO</w:t>
      </w:r>
      <w:r w:rsidRPr="006474D5">
        <w:rPr>
          <w:rFonts w:ascii="Times New Roman" w:hAnsi="Times New Roman"/>
          <w:szCs w:val="22"/>
          <w:vertAlign w:val="subscript"/>
        </w:rPr>
        <w:t>2</w:t>
      </w:r>
      <w:r w:rsidRPr="006474D5">
        <w:rPr>
          <w:rFonts w:ascii="Times New Roman" w:hAnsi="Times New Roman"/>
          <w:szCs w:val="22"/>
        </w:rPr>
        <w:t xml:space="preserve"> à titre de réduction indirecte, pour un total de 1 026 000 tCO</w:t>
      </w:r>
      <w:r w:rsidRPr="006474D5">
        <w:rPr>
          <w:rFonts w:ascii="Times New Roman" w:hAnsi="Times New Roman"/>
          <w:szCs w:val="22"/>
          <w:vertAlign w:val="subscript"/>
        </w:rPr>
        <w:t>2</w:t>
      </w:r>
      <w:r w:rsidRPr="006474D5">
        <w:rPr>
          <w:rFonts w:ascii="Times New Roman" w:hAnsi="Times New Roman"/>
          <w:szCs w:val="22"/>
        </w:rPr>
        <w:t xml:space="preserve"> au cours de la durée de 20 ans des digesteurs installés. Le coût de réduction par unité est équivalent à 16,4 $ des fonds du FEM par tCO2 (directe) et à 3 $ des fonds du FEM par tCO2 réduite (indirecte)</w:t>
      </w:r>
      <w:r w:rsidR="00610B04">
        <w:rPr>
          <w:rFonts w:ascii="Times New Roman" w:hAnsi="Times New Roman"/>
          <w:szCs w:val="22"/>
        </w:rPr>
        <w:t>.</w:t>
      </w:r>
    </w:p>
    <w:p w:rsidR="006474D5" w:rsidRPr="004F2CBA" w:rsidRDefault="006474D5" w:rsidP="006474D5">
      <w:pPr>
        <w:spacing w:after="120"/>
        <w:ind w:left="-450" w:right="-698"/>
        <w:rPr>
          <w:rFonts w:ascii="Times New Roman" w:hAnsi="Times New Roman"/>
          <w:szCs w:val="22"/>
          <w:lang w:val="es-ES_tradnl"/>
        </w:rPr>
      </w:pPr>
    </w:p>
    <w:p w:rsidR="006474D5" w:rsidRPr="004F2CBA" w:rsidRDefault="006474D5" w:rsidP="006474D5">
      <w:pPr>
        <w:spacing w:after="120"/>
        <w:ind w:left="-450" w:right="-698"/>
        <w:rPr>
          <w:rFonts w:ascii="Times New Roman" w:hAnsi="Times New Roman"/>
          <w:szCs w:val="22"/>
          <w:lang w:val="es-ES_tradnl"/>
        </w:rPr>
      </w:pPr>
    </w:p>
    <w:p w:rsidR="006474D5" w:rsidRPr="00865A23" w:rsidRDefault="006474D5" w:rsidP="006474D5">
      <w:pPr>
        <w:ind w:left="360"/>
        <w:jc w:val="center"/>
        <w:rPr>
          <w:rFonts w:ascii="Times New Roman" w:hAnsi="Times New Roman"/>
          <w:b/>
          <w:szCs w:val="22"/>
        </w:rPr>
      </w:pPr>
      <w:r w:rsidRPr="006474D5">
        <w:rPr>
          <w:rFonts w:ascii="Times New Roman" w:hAnsi="Times New Roman"/>
          <w:b/>
          <w:bCs/>
          <w:szCs w:val="22"/>
        </w:rPr>
        <w:t>Tableau : Impacts de la réduction des émissions GES du projet</w:t>
      </w:r>
    </w:p>
    <w:p w:rsidR="006474D5" w:rsidRPr="00865A23" w:rsidRDefault="006474D5" w:rsidP="006474D5">
      <w:pPr>
        <w:spacing w:after="120"/>
        <w:ind w:left="-450" w:right="-698"/>
        <w:jc w:val="center"/>
        <w:rPr>
          <w:rFonts w:ascii="Times New Roman" w:hAnsi="Times New Roman"/>
          <w:szCs w:val="22"/>
        </w:rPr>
      </w:pPr>
    </w:p>
    <w:tbl>
      <w:tblPr>
        <w:tblW w:w="104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409"/>
        <w:gridCol w:w="4680"/>
      </w:tblGrid>
      <w:tr w:rsidR="006474D5" w:rsidRPr="006474D5" w:rsidTr="002E0DE0">
        <w:tc>
          <w:tcPr>
            <w:tcW w:w="3403" w:type="dxa"/>
          </w:tcPr>
          <w:p w:rsidR="006474D5" w:rsidRPr="006474D5" w:rsidRDefault="006474D5" w:rsidP="002E0DE0">
            <w:pPr>
              <w:tabs>
                <w:tab w:val="center" w:pos="4320"/>
                <w:tab w:val="right" w:pos="8640"/>
              </w:tabs>
              <w:spacing w:after="120"/>
              <w:jc w:val="center"/>
              <w:rPr>
                <w:rFonts w:ascii="Times New Roman" w:hAnsi="Times New Roman"/>
                <w:szCs w:val="22"/>
                <w:lang w:val="en-GB"/>
              </w:rPr>
            </w:pPr>
            <w:r w:rsidRPr="006474D5">
              <w:rPr>
                <w:rFonts w:ascii="Times New Roman" w:hAnsi="Times New Roman"/>
                <w:szCs w:val="22"/>
              </w:rPr>
              <w:t xml:space="preserve">Calendrier </w:t>
            </w:r>
          </w:p>
        </w:tc>
        <w:tc>
          <w:tcPr>
            <w:tcW w:w="2409" w:type="dxa"/>
          </w:tcPr>
          <w:p w:rsidR="006474D5" w:rsidRPr="00865A23" w:rsidRDefault="006474D5" w:rsidP="002E0DE0">
            <w:pPr>
              <w:tabs>
                <w:tab w:val="center" w:pos="4320"/>
                <w:tab w:val="right" w:pos="8640"/>
              </w:tabs>
              <w:spacing w:after="120"/>
              <w:jc w:val="center"/>
              <w:rPr>
                <w:rFonts w:ascii="Times New Roman" w:hAnsi="Times New Roman"/>
                <w:szCs w:val="22"/>
              </w:rPr>
            </w:pPr>
            <w:r w:rsidRPr="006474D5">
              <w:rPr>
                <w:rFonts w:ascii="Times New Roman" w:hAnsi="Times New Roman"/>
                <w:szCs w:val="22"/>
              </w:rPr>
              <w:t>Réduction directe du projet sans transposition (projection d'une durée de vie de 20 ans du digesteur).</w:t>
            </w:r>
          </w:p>
        </w:tc>
        <w:tc>
          <w:tcPr>
            <w:tcW w:w="4680" w:type="dxa"/>
          </w:tcPr>
          <w:p w:rsidR="006474D5" w:rsidRPr="00865A23" w:rsidRDefault="006474D5" w:rsidP="002E0DE0">
            <w:pPr>
              <w:tabs>
                <w:tab w:val="center" w:pos="4320"/>
                <w:tab w:val="right" w:pos="8640"/>
              </w:tabs>
              <w:spacing w:after="120"/>
              <w:jc w:val="center"/>
              <w:rPr>
                <w:rFonts w:ascii="Times New Roman" w:hAnsi="Times New Roman"/>
                <w:szCs w:val="22"/>
              </w:rPr>
            </w:pPr>
            <w:r w:rsidRPr="006474D5">
              <w:rPr>
                <w:rFonts w:ascii="Times New Roman" w:hAnsi="Times New Roman"/>
                <w:szCs w:val="22"/>
              </w:rPr>
              <w:t xml:space="preserve">Réduction indirecte postérieure au projet (descendante) sans </w:t>
            </w:r>
            <w:r w:rsidR="00F168C0">
              <w:rPr>
                <w:rFonts w:ascii="Times New Roman" w:hAnsi="Times New Roman"/>
                <w:szCs w:val="22"/>
              </w:rPr>
              <w:t>transposition (sur la base de 8 </w:t>
            </w:r>
            <w:r w:rsidRPr="006474D5">
              <w:rPr>
                <w:rFonts w:ascii="Times New Roman" w:hAnsi="Times New Roman"/>
                <w:szCs w:val="22"/>
              </w:rPr>
              <w:t>000 digesteurs domestiques et de gros volume au cours des 10 prochaines années d'influence du projet).</w:t>
            </w:r>
          </w:p>
        </w:tc>
      </w:tr>
      <w:tr w:rsidR="006474D5" w:rsidRPr="006474D5" w:rsidTr="002E0DE0">
        <w:tc>
          <w:tcPr>
            <w:tcW w:w="3403" w:type="dxa"/>
          </w:tcPr>
          <w:p w:rsidR="006474D5" w:rsidRPr="00865A23" w:rsidRDefault="006474D5" w:rsidP="002E0DE0">
            <w:pPr>
              <w:tabs>
                <w:tab w:val="center" w:pos="4320"/>
                <w:tab w:val="right" w:pos="8640"/>
              </w:tabs>
              <w:spacing w:after="120"/>
              <w:rPr>
                <w:rFonts w:ascii="Times New Roman" w:hAnsi="Times New Roman"/>
                <w:szCs w:val="22"/>
              </w:rPr>
            </w:pPr>
            <w:r w:rsidRPr="006474D5">
              <w:rPr>
                <w:rFonts w:ascii="Times New Roman" w:hAnsi="Times New Roman"/>
                <w:szCs w:val="22"/>
              </w:rPr>
              <w:t>Total de la réduction des émissions CO</w:t>
            </w:r>
            <w:r w:rsidRPr="006474D5">
              <w:rPr>
                <w:rFonts w:ascii="Times New Roman" w:hAnsi="Times New Roman"/>
                <w:szCs w:val="22"/>
                <w:vertAlign w:val="subscript"/>
              </w:rPr>
              <w:t>2</w:t>
            </w:r>
            <w:r w:rsidRPr="006474D5">
              <w:rPr>
                <w:rFonts w:ascii="Times New Roman" w:hAnsi="Times New Roman"/>
                <w:szCs w:val="22"/>
              </w:rPr>
              <w:t xml:space="preserve"> (tonnes)</w:t>
            </w:r>
          </w:p>
        </w:tc>
        <w:tc>
          <w:tcPr>
            <w:tcW w:w="2409" w:type="dxa"/>
          </w:tcPr>
          <w:p w:rsidR="006474D5" w:rsidRPr="006474D5" w:rsidRDefault="006474D5" w:rsidP="002E0DE0">
            <w:pPr>
              <w:tabs>
                <w:tab w:val="center" w:pos="4320"/>
                <w:tab w:val="right" w:pos="8640"/>
              </w:tabs>
              <w:spacing w:after="120"/>
              <w:jc w:val="center"/>
              <w:rPr>
                <w:rFonts w:ascii="Times New Roman" w:hAnsi="Times New Roman"/>
                <w:szCs w:val="22"/>
                <w:lang w:val="en-GB"/>
              </w:rPr>
            </w:pPr>
            <w:r w:rsidRPr="006474D5">
              <w:rPr>
                <w:rFonts w:ascii="Times New Roman" w:hAnsi="Times New Roman"/>
                <w:szCs w:val="22"/>
                <w:lang w:val="en-GB"/>
              </w:rPr>
              <w:t>161</w:t>
            </w:r>
            <w:r w:rsidR="00F168C0">
              <w:rPr>
                <w:rFonts w:ascii="Times New Roman" w:hAnsi="Times New Roman"/>
                <w:szCs w:val="22"/>
                <w:lang w:val="en-GB"/>
              </w:rPr>
              <w:t xml:space="preserve"> </w:t>
            </w:r>
            <w:r w:rsidRPr="006474D5">
              <w:rPr>
                <w:rFonts w:ascii="Times New Roman" w:hAnsi="Times New Roman"/>
                <w:szCs w:val="22"/>
                <w:lang w:val="en-GB"/>
              </w:rPr>
              <w:t>100</w:t>
            </w:r>
          </w:p>
        </w:tc>
        <w:tc>
          <w:tcPr>
            <w:tcW w:w="4680" w:type="dxa"/>
          </w:tcPr>
          <w:p w:rsidR="006474D5" w:rsidRPr="006474D5" w:rsidRDefault="006474D5" w:rsidP="002E0DE0">
            <w:pPr>
              <w:tabs>
                <w:tab w:val="center" w:pos="4320"/>
                <w:tab w:val="right" w:pos="8640"/>
              </w:tabs>
              <w:spacing w:after="120"/>
              <w:jc w:val="center"/>
              <w:rPr>
                <w:rFonts w:ascii="Times New Roman" w:hAnsi="Times New Roman"/>
                <w:szCs w:val="22"/>
                <w:lang w:val="en-GB"/>
              </w:rPr>
            </w:pPr>
            <w:r w:rsidRPr="006474D5">
              <w:rPr>
                <w:rFonts w:ascii="Times New Roman" w:hAnsi="Times New Roman"/>
                <w:szCs w:val="22"/>
                <w:lang w:val="en-GB"/>
              </w:rPr>
              <w:t xml:space="preserve"> 864 900</w:t>
            </w:r>
          </w:p>
        </w:tc>
      </w:tr>
      <w:tr w:rsidR="006474D5" w:rsidRPr="006474D5" w:rsidTr="002E0DE0">
        <w:tc>
          <w:tcPr>
            <w:tcW w:w="3403" w:type="dxa"/>
          </w:tcPr>
          <w:p w:rsidR="006474D5" w:rsidRPr="004F2CBA" w:rsidRDefault="006474D5" w:rsidP="002E0DE0">
            <w:pPr>
              <w:tabs>
                <w:tab w:val="center" w:pos="4320"/>
                <w:tab w:val="right" w:pos="8640"/>
              </w:tabs>
              <w:spacing w:after="120"/>
              <w:rPr>
                <w:rFonts w:ascii="Times New Roman" w:hAnsi="Times New Roman"/>
                <w:szCs w:val="22"/>
                <w:lang w:val="es-ES_tradnl"/>
              </w:rPr>
            </w:pPr>
            <w:r w:rsidRPr="006474D5">
              <w:rPr>
                <w:rFonts w:ascii="Times New Roman" w:hAnsi="Times New Roman"/>
                <w:szCs w:val="22"/>
              </w:rPr>
              <w:t>Coût de réduction par unité des fonds du FEM</w:t>
            </w:r>
          </w:p>
        </w:tc>
        <w:tc>
          <w:tcPr>
            <w:tcW w:w="2409" w:type="dxa"/>
          </w:tcPr>
          <w:p w:rsidR="006474D5" w:rsidRPr="006474D5" w:rsidRDefault="006474D5" w:rsidP="002E0DE0">
            <w:pPr>
              <w:tabs>
                <w:tab w:val="center" w:pos="4320"/>
                <w:tab w:val="right" w:pos="8640"/>
              </w:tabs>
              <w:spacing w:after="120"/>
              <w:jc w:val="center"/>
              <w:rPr>
                <w:rFonts w:ascii="Times New Roman" w:hAnsi="Times New Roman"/>
                <w:szCs w:val="22"/>
                <w:lang w:val="en-GB"/>
              </w:rPr>
            </w:pPr>
            <w:r w:rsidRPr="006474D5">
              <w:rPr>
                <w:rFonts w:ascii="Times New Roman" w:hAnsi="Times New Roman"/>
                <w:szCs w:val="22"/>
              </w:rPr>
              <w:t>16,4 $</w:t>
            </w:r>
          </w:p>
        </w:tc>
        <w:tc>
          <w:tcPr>
            <w:tcW w:w="4680" w:type="dxa"/>
          </w:tcPr>
          <w:p w:rsidR="006474D5" w:rsidRPr="006474D5" w:rsidRDefault="006474D5" w:rsidP="002E0DE0">
            <w:pPr>
              <w:tabs>
                <w:tab w:val="center" w:pos="4320"/>
                <w:tab w:val="right" w:pos="8640"/>
              </w:tabs>
              <w:spacing w:after="120"/>
              <w:jc w:val="center"/>
              <w:rPr>
                <w:rFonts w:ascii="Times New Roman" w:hAnsi="Times New Roman"/>
                <w:szCs w:val="22"/>
                <w:lang w:val="en-GB"/>
              </w:rPr>
            </w:pPr>
            <w:r w:rsidRPr="006474D5">
              <w:rPr>
                <w:rFonts w:ascii="Times New Roman" w:hAnsi="Times New Roman"/>
                <w:szCs w:val="22"/>
              </w:rPr>
              <w:t>3 $</w:t>
            </w:r>
          </w:p>
        </w:tc>
      </w:tr>
    </w:tbl>
    <w:p w:rsidR="006474D5" w:rsidRPr="006474D5" w:rsidRDefault="006474D5" w:rsidP="006474D5">
      <w:pPr>
        <w:rPr>
          <w:rFonts w:ascii="Times New Roman" w:hAnsi="Times New Roman"/>
          <w:b/>
          <w:szCs w:val="22"/>
          <w:lang w:val="en-GB"/>
        </w:rPr>
      </w:pPr>
    </w:p>
    <w:p w:rsidR="00354C58" w:rsidRPr="006474D5" w:rsidRDefault="00354C58" w:rsidP="00AC6934">
      <w:pPr>
        <w:spacing w:after="0"/>
        <w:jc w:val="left"/>
        <w:rPr>
          <w:rStyle w:val="tw4winExternal"/>
          <w:rFonts w:ascii="Times New Roman" w:hAnsi="Times New Roman"/>
        </w:rPr>
      </w:pPr>
    </w:p>
    <w:sectPr w:rsidR="00354C58" w:rsidRPr="006474D5" w:rsidSect="004737D0">
      <w:pgSz w:w="12240" w:h="15840" w:code="1"/>
      <w:pgMar w:top="1440" w:right="1440" w:bottom="1440"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7C" w:rsidRDefault="0077197C">
      <w:r>
        <w:separator/>
      </w:r>
    </w:p>
  </w:endnote>
  <w:endnote w:type="continuationSeparator" w:id="0">
    <w:p w:rsidR="0077197C" w:rsidRDefault="0077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sig w:usb0="00000001" w:usb1="08070000" w:usb2="00000010" w:usb3="00000000" w:csb0="00020000" w:csb1="00000000"/>
  </w:font>
  <w:font w:name="Symbol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charset w:val="00"/>
    <w:family w:val="auto"/>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yriad">
    <w:altName w:val="Cambria"/>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287" w:usb1="5000204B" w:usb2="00000000" w:usb3="00000000" w:csb0="0000009F" w:csb1="00000000"/>
  </w:font>
  <w:font w:name="Adobe Caslon Pro">
    <w:altName w:val="Times New Roman"/>
    <w:charset w:val="00"/>
    <w:family w:val="auto"/>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09" w:rsidRPr="00F27B13" w:rsidRDefault="00F61709">
    <w:pPr>
      <w:pStyle w:val="Pieddepage"/>
      <w:jc w:val="right"/>
      <w:rPr>
        <w:rFonts w:ascii="Times New Roman" w:hAnsi="Times New Roman"/>
        <w:sz w:val="20"/>
        <w:szCs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414ED3">
      <w:rPr>
        <w:rFonts w:ascii="Times New Roman" w:hAnsi="Times New Roman"/>
        <w:noProof/>
        <w:sz w:val="20"/>
      </w:rPr>
      <w:t>5</w:t>
    </w:r>
    <w:r>
      <w:rPr>
        <w:rFonts w:ascii="Times New Roman" w:hAnsi="Times New Roman"/>
        <w:sz w:val="20"/>
      </w:rPr>
      <w:fldChar w:fldCharType="end"/>
    </w:r>
  </w:p>
  <w:p w:rsidR="00F61709" w:rsidRPr="00224B94" w:rsidRDefault="00F61709">
    <w:pPr>
      <w:pStyle w:val="Pieddepag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09" w:rsidRPr="00F27B13" w:rsidRDefault="00F61709">
    <w:pPr>
      <w:pStyle w:val="Pieddepage"/>
      <w:jc w:val="right"/>
      <w:rPr>
        <w:rFonts w:ascii="Times New Roman" w:hAnsi="Times New Roman"/>
        <w:sz w:val="20"/>
        <w:szCs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414ED3">
      <w:rPr>
        <w:rFonts w:ascii="Times New Roman" w:hAnsi="Times New Roman"/>
        <w:noProof/>
        <w:sz w:val="20"/>
      </w:rPr>
      <w:t>21</w:t>
    </w:r>
    <w:r>
      <w:rPr>
        <w:rFonts w:ascii="Times New Roman" w:hAnsi="Times New Roman"/>
        <w:sz w:val="20"/>
      </w:rPr>
      <w:fldChar w:fldCharType="end"/>
    </w:r>
  </w:p>
  <w:p w:rsidR="00F61709" w:rsidRPr="00224B94" w:rsidRDefault="00F61709">
    <w:pPr>
      <w:pStyle w:val="Pieddepage"/>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09" w:rsidRDefault="00F61709" w:rsidP="00B934BF">
    <w:pPr>
      <w:framePr w:wrap="around"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F61709" w:rsidRDefault="00F61709">
    <w:pPr>
      <w:tabs>
        <w:tab w:val="center" w:pos="4153"/>
        <w:tab w:val="right" w:pos="8306"/>
      </w:tabs>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09" w:rsidRDefault="00F61709">
    <w:pPr>
      <w:tabs>
        <w:tab w:val="center" w:pos="4153"/>
        <w:tab w:val="right" w:pos="8306"/>
      </w:tabs>
      <w:jc w:val="right"/>
      <w:rPr>
        <w:lang w:val="en-GB"/>
      </w:rPr>
    </w:pPr>
    <w:r>
      <w:rPr>
        <w:lang w:val="en-GB"/>
      </w:rPr>
      <w:fldChar w:fldCharType="begin"/>
    </w:r>
    <w:r>
      <w:rPr>
        <w:lang w:val="en-GB"/>
      </w:rPr>
      <w:instrText xml:space="preserve"> PAGE   \* MERGEFORMAT </w:instrText>
    </w:r>
    <w:r>
      <w:rPr>
        <w:lang w:val="en-GB"/>
      </w:rPr>
      <w:fldChar w:fldCharType="separate"/>
    </w:r>
    <w:r w:rsidR="00414ED3">
      <w:rPr>
        <w:noProof/>
        <w:lang w:val="en-GB"/>
      </w:rPr>
      <w:t>64</w:t>
    </w:r>
    <w:r>
      <w:rPr>
        <w:lang w:val="en-GB"/>
      </w:rPr>
      <w:fldChar w:fldCharType="end"/>
    </w:r>
  </w:p>
  <w:p w:rsidR="00F61709" w:rsidRPr="00224B94" w:rsidRDefault="00F61709" w:rsidP="00B934BF">
    <w:pPr>
      <w:tabs>
        <w:tab w:val="center" w:pos="4153"/>
        <w:tab w:val="right" w:pos="8306"/>
      </w:tabs>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7C" w:rsidRDefault="0077197C">
      <w:r>
        <w:separator/>
      </w:r>
    </w:p>
  </w:footnote>
  <w:footnote w:type="continuationSeparator" w:id="0">
    <w:p w:rsidR="0077197C" w:rsidRDefault="0077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09" w:rsidRPr="00424365" w:rsidRDefault="00F61709" w:rsidP="00B934BF">
    <w:pPr>
      <w:tabs>
        <w:tab w:val="center" w:pos="4153"/>
        <w:tab w:val="right" w:pos="8306"/>
      </w:tabs>
      <w:rPr>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8"/>
    <w:multiLevelType w:val="multilevel"/>
    <w:tmpl w:val="00000008"/>
    <w:name w:val="WW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10"/>
    <w:multiLevelType w:val="multilevel"/>
    <w:tmpl w:val="00000010"/>
    <w:name w:val="WW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13"/>
    <w:multiLevelType w:val="multilevel"/>
    <w:tmpl w:val="00000013"/>
    <w:name w:val="WW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15:restartNumberingAfterBreak="0">
    <w:nsid w:val="00000014"/>
    <w:multiLevelType w:val="multilevel"/>
    <w:tmpl w:val="00000014"/>
    <w:name w:val="WW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15:restartNumberingAfterBreak="0">
    <w:nsid w:val="010C4EEF"/>
    <w:multiLevelType w:val="hybridMultilevel"/>
    <w:tmpl w:val="B6EC28A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11B04FC"/>
    <w:multiLevelType w:val="hybridMultilevel"/>
    <w:tmpl w:val="F0E2A7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4380D33"/>
    <w:multiLevelType w:val="hybridMultilevel"/>
    <w:tmpl w:val="00FAAD82"/>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1" w15:restartNumberingAfterBreak="0">
    <w:nsid w:val="07200172"/>
    <w:multiLevelType w:val="hybridMultilevel"/>
    <w:tmpl w:val="DFF2F7B4"/>
    <w:lvl w:ilvl="0" w:tplc="FFFFFFFF">
      <w:start w:val="1"/>
      <w:numFmt w:val="decimal"/>
      <w:pStyle w:val="Paragraph"/>
      <w:lvlText w:val="%1."/>
      <w:lvlJc w:val="left"/>
      <w:pPr>
        <w:ind w:left="360" w:hanging="360"/>
      </w:pPr>
      <w:rPr>
        <w:rFonts w:ascii="Times New Roman" w:hAnsi="Times New Roman" w:cs="Times New Roman" w:hint="default"/>
        <w:b w:val="0"/>
        <w:i w:val="0"/>
        <w:sz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F7B04D6"/>
    <w:multiLevelType w:val="hybridMultilevel"/>
    <w:tmpl w:val="307096EC"/>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1454157D"/>
    <w:multiLevelType w:val="hybridMultilevel"/>
    <w:tmpl w:val="539850C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14E00B4B"/>
    <w:multiLevelType w:val="hybridMultilevel"/>
    <w:tmpl w:val="F8F471BE"/>
    <w:lvl w:ilvl="0" w:tplc="FFFFFFFF">
      <w:start w:val="1"/>
      <w:numFmt w:val="decimal"/>
      <w:pStyle w:val="PIFParas"/>
      <w:lvlText w:val="%1."/>
      <w:lvlJc w:val="left"/>
      <w:pPr>
        <w:tabs>
          <w:tab w:val="num" w:pos="720"/>
        </w:tabs>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D95E77"/>
    <w:multiLevelType w:val="hybridMultilevel"/>
    <w:tmpl w:val="393896C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161277A5"/>
    <w:multiLevelType w:val="hybridMultilevel"/>
    <w:tmpl w:val="089A57D2"/>
    <w:lvl w:ilvl="0" w:tplc="00000000">
      <w:start w:val="1"/>
      <w:numFmt w:val="decimal"/>
      <w:lvlText w:val="%1."/>
      <w:lvlJc w:val="left"/>
      <w:pPr>
        <w:tabs>
          <w:tab w:val="num" w:pos="720"/>
        </w:tabs>
        <w:ind w:left="720" w:hanging="720"/>
      </w:pPr>
      <w:rPr>
        <w:rFonts w:cs="Times New Roman"/>
      </w:rPr>
    </w:lvl>
    <w:lvl w:ilvl="1" w:tplc="00000001">
      <w:start w:val="1"/>
      <w:numFmt w:val="bullet"/>
      <w:lvlText w:val=""/>
      <w:lvlJc w:val="left"/>
      <w:pPr>
        <w:tabs>
          <w:tab w:val="num" w:pos="1440"/>
        </w:tabs>
        <w:ind w:left="1440" w:hanging="360"/>
      </w:pPr>
      <w:rPr>
        <w:rFonts w:ascii="Symbol" w:hAnsi="Symbol"/>
        <w:sz w:val="18"/>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7" w15:restartNumberingAfterBreak="0">
    <w:nsid w:val="174A31B8"/>
    <w:multiLevelType w:val="hybridMultilevel"/>
    <w:tmpl w:val="41220F8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17606E57"/>
    <w:multiLevelType w:val="hybridMultilevel"/>
    <w:tmpl w:val="BDB8D73C"/>
    <w:lvl w:ilvl="0" w:tplc="FFFFFFFF">
      <w:start w:val="1"/>
      <w:numFmt w:val="bullet"/>
      <w:lvlText w:val=""/>
      <w:lvlJc w:val="left"/>
      <w:pPr>
        <w:ind w:left="270" w:hanging="360"/>
      </w:pPr>
      <w:rPr>
        <w:rFonts w:ascii="Wingdings" w:hAnsi="Wingdings" w:hint="default"/>
      </w:rPr>
    </w:lvl>
    <w:lvl w:ilvl="1" w:tplc="FFFFFFFF" w:tentative="1">
      <w:start w:val="1"/>
      <w:numFmt w:val="bullet"/>
      <w:lvlText w:val="o"/>
      <w:lvlJc w:val="left"/>
      <w:pPr>
        <w:ind w:left="990" w:hanging="360"/>
      </w:pPr>
      <w:rPr>
        <w:rFonts w:ascii="Courier New" w:hAnsi="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19" w15:restartNumberingAfterBreak="0">
    <w:nsid w:val="1BB80D15"/>
    <w:multiLevelType w:val="hybridMultilevel"/>
    <w:tmpl w:val="B3323C8A"/>
    <w:lvl w:ilvl="0" w:tplc="00000000">
      <w:start w:val="5"/>
      <w:numFmt w:val="decimal"/>
      <w:lvlText w:val="%1."/>
      <w:lvlJc w:val="left"/>
      <w:pPr>
        <w:ind w:left="270" w:hanging="360"/>
      </w:pPr>
      <w:rPr>
        <w:rFonts w:cs="Times New Roman"/>
      </w:rPr>
    </w:lvl>
    <w:lvl w:ilvl="1" w:tplc="00000001">
      <w:start w:val="1"/>
      <w:numFmt w:val="lowerLetter"/>
      <w:lvlText w:val="%2."/>
      <w:lvlJc w:val="left"/>
      <w:pPr>
        <w:ind w:left="990" w:hanging="360"/>
      </w:pPr>
      <w:rPr>
        <w:rFonts w:cs="Times New Roman"/>
      </w:rPr>
    </w:lvl>
    <w:lvl w:ilvl="2" w:tplc="00000002">
      <w:start w:val="1"/>
      <w:numFmt w:val="lowerRoman"/>
      <w:lvlText w:val="%3."/>
      <w:lvlJc w:val="right"/>
      <w:pPr>
        <w:ind w:left="1710" w:hanging="180"/>
      </w:pPr>
      <w:rPr>
        <w:rFonts w:cs="Times New Roman"/>
      </w:rPr>
    </w:lvl>
    <w:lvl w:ilvl="3" w:tplc="00000003">
      <w:start w:val="1"/>
      <w:numFmt w:val="decimal"/>
      <w:lvlText w:val="%4."/>
      <w:lvlJc w:val="left"/>
      <w:pPr>
        <w:ind w:left="2430" w:hanging="360"/>
      </w:pPr>
      <w:rPr>
        <w:rFonts w:cs="Times New Roman"/>
      </w:rPr>
    </w:lvl>
    <w:lvl w:ilvl="4" w:tplc="00000004">
      <w:start w:val="1"/>
      <w:numFmt w:val="lowerLetter"/>
      <w:lvlText w:val="%5."/>
      <w:lvlJc w:val="left"/>
      <w:pPr>
        <w:ind w:left="3150" w:hanging="360"/>
      </w:pPr>
      <w:rPr>
        <w:rFonts w:cs="Times New Roman"/>
      </w:rPr>
    </w:lvl>
    <w:lvl w:ilvl="5" w:tplc="00000005">
      <w:start w:val="1"/>
      <w:numFmt w:val="lowerRoman"/>
      <w:lvlText w:val="%6."/>
      <w:lvlJc w:val="right"/>
      <w:pPr>
        <w:ind w:left="3870" w:hanging="180"/>
      </w:pPr>
      <w:rPr>
        <w:rFonts w:cs="Times New Roman"/>
      </w:rPr>
    </w:lvl>
    <w:lvl w:ilvl="6" w:tplc="00000006">
      <w:start w:val="1"/>
      <w:numFmt w:val="decimal"/>
      <w:lvlText w:val="%7."/>
      <w:lvlJc w:val="left"/>
      <w:pPr>
        <w:ind w:left="4590" w:hanging="360"/>
      </w:pPr>
      <w:rPr>
        <w:rFonts w:cs="Times New Roman"/>
      </w:rPr>
    </w:lvl>
    <w:lvl w:ilvl="7" w:tplc="00000007">
      <w:start w:val="1"/>
      <w:numFmt w:val="lowerLetter"/>
      <w:lvlText w:val="%8."/>
      <w:lvlJc w:val="left"/>
      <w:pPr>
        <w:ind w:left="5310" w:hanging="360"/>
      </w:pPr>
      <w:rPr>
        <w:rFonts w:cs="Times New Roman"/>
      </w:rPr>
    </w:lvl>
    <w:lvl w:ilvl="8" w:tplc="00000008">
      <w:start w:val="1"/>
      <w:numFmt w:val="lowerRoman"/>
      <w:lvlText w:val="%9."/>
      <w:lvlJc w:val="right"/>
      <w:pPr>
        <w:ind w:left="6030" w:hanging="180"/>
      </w:pPr>
      <w:rPr>
        <w:rFonts w:cs="Times New Roman"/>
      </w:rPr>
    </w:lvl>
  </w:abstractNum>
  <w:abstractNum w:abstractNumId="20" w15:restartNumberingAfterBreak="0">
    <w:nsid w:val="1E600FE4"/>
    <w:multiLevelType w:val="hybridMultilevel"/>
    <w:tmpl w:val="35DCC2BE"/>
    <w:lvl w:ilvl="0" w:tplc="FFFFFFFF">
      <w:start w:val="1"/>
      <w:numFmt w:val="decimal"/>
      <w:pStyle w:val="NumberedParas"/>
      <w:lvlText w:val="%1."/>
      <w:lvlJc w:val="left"/>
      <w:pPr>
        <w:ind w:left="360" w:hanging="360"/>
      </w:pPr>
      <w:rPr>
        <w:rFonts w:ascii="Times New Roman" w:hAnsi="Times New Roman" w:cs="Times New Roman" w:hint="default"/>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1EC643B3"/>
    <w:multiLevelType w:val="hybridMultilevel"/>
    <w:tmpl w:val="D556C41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1FFF2E69"/>
    <w:multiLevelType w:val="hybridMultilevel"/>
    <w:tmpl w:val="C58C28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3"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24" w15:restartNumberingAfterBreak="0">
    <w:nsid w:val="2603050B"/>
    <w:multiLevelType w:val="hybridMultilevel"/>
    <w:tmpl w:val="6C5CA256"/>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5" w15:restartNumberingAfterBreak="0">
    <w:nsid w:val="29F14106"/>
    <w:multiLevelType w:val="hybridMultilevel"/>
    <w:tmpl w:val="655E2300"/>
    <w:lvl w:ilvl="0" w:tplc="FFFFFFFF">
      <w:start w:val="1"/>
      <w:numFmt w:val="bullet"/>
      <w:pStyle w:val="Normal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BD6599"/>
    <w:multiLevelType w:val="hybridMultilevel"/>
    <w:tmpl w:val="EB9EB28A"/>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27" w15:restartNumberingAfterBreak="0">
    <w:nsid w:val="2EF82511"/>
    <w:multiLevelType w:val="hybridMultilevel"/>
    <w:tmpl w:val="4BCA1CB6"/>
    <w:lvl w:ilvl="0" w:tplc="FFFFFFFF">
      <w:start w:val="1"/>
      <w:numFmt w:val="bullet"/>
      <w:lvlText w:val=""/>
      <w:lvlJc w:val="left"/>
      <w:pPr>
        <w:ind w:left="180" w:hanging="360"/>
      </w:pPr>
      <w:rPr>
        <w:rFonts w:ascii="Wingdings" w:hAnsi="Wingdings" w:hint="default"/>
      </w:rPr>
    </w:lvl>
    <w:lvl w:ilvl="1" w:tplc="FFFFFFFF">
      <w:start w:val="1"/>
      <w:numFmt w:val="bullet"/>
      <w:lvlText w:val="o"/>
      <w:lvlJc w:val="left"/>
      <w:pPr>
        <w:ind w:left="900" w:hanging="360"/>
      </w:pPr>
      <w:rPr>
        <w:rFonts w:ascii="Courier New" w:hAnsi="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28" w15:restartNumberingAfterBreak="0">
    <w:nsid w:val="38A37A90"/>
    <w:multiLevelType w:val="hybridMultilevel"/>
    <w:tmpl w:val="290ADE20"/>
    <w:lvl w:ilvl="0" w:tplc="FFFFFFFF">
      <w:start w:val="1"/>
      <w:numFmt w:val="bullet"/>
      <w:lvlText w:val=""/>
      <w:lvlJc w:val="left"/>
      <w:pPr>
        <w:ind w:left="270" w:hanging="360"/>
      </w:pPr>
      <w:rPr>
        <w:rFonts w:ascii="Symbol" w:hAnsi="Symbol" w:hint="default"/>
      </w:rPr>
    </w:lvl>
    <w:lvl w:ilvl="1" w:tplc="FFFFFFFF" w:tentative="1">
      <w:start w:val="1"/>
      <w:numFmt w:val="bullet"/>
      <w:lvlText w:val="o"/>
      <w:lvlJc w:val="left"/>
      <w:pPr>
        <w:ind w:left="990" w:hanging="360"/>
      </w:pPr>
      <w:rPr>
        <w:rFonts w:ascii="Courier New" w:hAnsi="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29" w15:restartNumberingAfterBreak="0">
    <w:nsid w:val="38B36427"/>
    <w:multiLevelType w:val="hybridMultilevel"/>
    <w:tmpl w:val="E27E7C18"/>
    <w:lvl w:ilvl="0" w:tplc="FFFFFFFF">
      <w:numFmt w:val="bullet"/>
      <w:lvlText w:val="•"/>
      <w:lvlJc w:val="left"/>
      <w:pPr>
        <w:ind w:left="360" w:hanging="360"/>
      </w:pPr>
      <w:rPr>
        <w:rFonts w:ascii="SymbolMT" w:eastAsia="Times New Roman" w:hAnsi="SymbolMT" w:hint="default"/>
        <w:i/>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BF14C56"/>
    <w:multiLevelType w:val="hybridMultilevel"/>
    <w:tmpl w:val="B85C2A50"/>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
      <w:lvlJc w:val="left"/>
      <w:pPr>
        <w:tabs>
          <w:tab w:val="num" w:pos="1152"/>
        </w:tabs>
        <w:ind w:left="1152" w:hanging="432"/>
      </w:pPr>
      <w:rPr>
        <w:rFonts w:ascii="Wingdings" w:hAnsi="Wingdings"/>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31" w15:restartNumberingAfterBreak="0">
    <w:nsid w:val="43BE2370"/>
    <w:multiLevelType w:val="hybridMultilevel"/>
    <w:tmpl w:val="662ABFC6"/>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32" w15:restartNumberingAfterBreak="0">
    <w:nsid w:val="44A247A8"/>
    <w:multiLevelType w:val="hybridMultilevel"/>
    <w:tmpl w:val="BC021310"/>
    <w:lvl w:ilvl="0" w:tplc="FFFFFFFF">
      <w:start w:val="1"/>
      <w:numFmt w:val="decimal"/>
      <w:pStyle w:val="A"/>
      <w:lvlText w:val="%1."/>
      <w:lvlJc w:val="left"/>
      <w:pPr>
        <w:tabs>
          <w:tab w:val="num" w:pos="1080"/>
        </w:tabs>
        <w:ind w:left="1080" w:hanging="720"/>
      </w:pPr>
      <w:rPr>
        <w:rFonts w:cs="Times New Roman" w:hint="default"/>
        <w:b w:val="0"/>
      </w:rPr>
    </w:lvl>
    <w:lvl w:ilvl="1" w:tplc="FFFFFFFF">
      <w:start w:val="1"/>
      <w:numFmt w:val="lowerRoman"/>
      <w:lvlText w:val="(%2)"/>
      <w:lvlJc w:val="left"/>
      <w:pPr>
        <w:tabs>
          <w:tab w:val="num" w:pos="900"/>
        </w:tabs>
        <w:ind w:left="9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7716AB6"/>
    <w:multiLevelType w:val="hybridMultilevel"/>
    <w:tmpl w:val="4A4CCD44"/>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34" w15:restartNumberingAfterBreak="0">
    <w:nsid w:val="48B33827"/>
    <w:multiLevelType w:val="hybridMultilevel"/>
    <w:tmpl w:val="239A371A"/>
    <w:lvl w:ilvl="0" w:tplc="FFFFFFFF">
      <w:start w:val="1"/>
      <w:numFmt w:val="decimal"/>
      <w:pStyle w:val="SESPbodynumbered"/>
      <w:lvlText w:val="%1."/>
      <w:lvlJc w:val="left"/>
      <w:pPr>
        <w:ind w:left="720" w:hanging="360"/>
      </w:pPr>
      <w:rPr>
        <w:rFonts w:cs="Times New Roman"/>
      </w:rPr>
    </w:lvl>
    <w:lvl w:ilvl="1" w:tplc="FFFFFFFF">
      <w:start w:val="1"/>
      <w:numFmt w:val="lowerRoman"/>
      <w:lvlText w:val="%2."/>
      <w:lvlJc w:val="righ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numFmt w:val="bullet"/>
      <w:lvlText w:val="-"/>
      <w:lvlJc w:val="left"/>
      <w:pPr>
        <w:ind w:left="2880" w:hanging="360"/>
      </w:pPr>
      <w:rPr>
        <w:rFonts w:ascii="Arial" w:eastAsia="MS Mincho" w:hAnsi="Aria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4F8B591D"/>
    <w:multiLevelType w:val="hybridMultilevel"/>
    <w:tmpl w:val="C8807E7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7B2E10"/>
    <w:multiLevelType w:val="hybridMultilevel"/>
    <w:tmpl w:val="3EBE80A6"/>
    <w:lvl w:ilvl="0" w:tplc="FFFFFFFF">
      <w:start w:val="1"/>
      <w:numFmt w:val="bullet"/>
      <w:lvlText w:val=""/>
      <w:lvlJc w:val="left"/>
      <w:pPr>
        <w:tabs>
          <w:tab w:val="num" w:pos="1080"/>
        </w:tabs>
        <w:ind w:left="1080" w:hanging="360"/>
      </w:pPr>
      <w:rPr>
        <w:rFonts w:ascii="Symbol" w:hAnsi="Symbol" w:hint="default"/>
        <w:color w:val="auto"/>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23F7121"/>
    <w:multiLevelType w:val="hybridMultilevel"/>
    <w:tmpl w:val="D612F55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24E30FF"/>
    <w:multiLevelType w:val="hybridMultilevel"/>
    <w:tmpl w:val="A3825FA0"/>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39" w15:restartNumberingAfterBreak="0">
    <w:nsid w:val="56094D5B"/>
    <w:multiLevelType w:val="multilevel"/>
    <w:tmpl w:val="EBCA326E"/>
    <w:lvl w:ilvl="0">
      <w:start w:val="1"/>
      <w:numFmt w:val="none"/>
      <w:lvlText w:val=""/>
      <w:legacy w:legacy="1" w:legacySpace="120" w:legacyIndent="360"/>
      <w:lvlJc w:val="left"/>
      <w:pPr>
        <w:ind w:left="360" w:hanging="360"/>
      </w:pPr>
      <w:rPr>
        <w:rFonts w:ascii="Symbol" w:hAnsi="Symbol" w:cs="Times New Roman"/>
      </w:rPr>
    </w:lvl>
    <w:lvl w:ilvl="1">
      <w:start w:val="1"/>
      <w:numFmt w:val="none"/>
      <w:lvlText w:val="o"/>
      <w:legacy w:legacy="1" w:legacySpace="120" w:legacyIndent="360"/>
      <w:lvlJc w:val="left"/>
      <w:pPr>
        <w:ind w:left="720" w:hanging="360"/>
      </w:pPr>
      <w:rPr>
        <w:rFonts w:ascii="Courier New" w:hAnsi="Courier New" w:cs="Times New Roman"/>
      </w:rPr>
    </w:lvl>
    <w:lvl w:ilvl="2">
      <w:start w:val="1"/>
      <w:numFmt w:val="none"/>
      <w:lvlText w:val=""/>
      <w:legacy w:legacy="1" w:legacySpace="120" w:legacyIndent="360"/>
      <w:lvlJc w:val="left"/>
      <w:pPr>
        <w:ind w:left="1080" w:hanging="360"/>
      </w:pPr>
      <w:rPr>
        <w:rFonts w:ascii="Wingdings" w:hAnsi="Wingdings" w:cs="Times New Roman"/>
      </w:rPr>
    </w:lvl>
    <w:lvl w:ilvl="3">
      <w:start w:val="1"/>
      <w:numFmt w:val="none"/>
      <w:lvlText w:val=""/>
      <w:legacy w:legacy="1" w:legacySpace="120" w:legacyIndent="360"/>
      <w:lvlJc w:val="left"/>
      <w:pPr>
        <w:ind w:left="1440" w:hanging="360"/>
      </w:pPr>
      <w:rPr>
        <w:rFonts w:ascii="Symbol" w:hAnsi="Symbol" w:cs="Times New Roman"/>
      </w:rPr>
    </w:lvl>
    <w:lvl w:ilvl="4">
      <w:start w:val="1"/>
      <w:numFmt w:val="none"/>
      <w:lvlText w:val="o"/>
      <w:legacy w:legacy="1" w:legacySpace="120" w:legacyIndent="360"/>
      <w:lvlJc w:val="left"/>
      <w:pPr>
        <w:ind w:left="1800" w:hanging="360"/>
      </w:pPr>
      <w:rPr>
        <w:rFonts w:ascii="Courier New" w:hAnsi="Courier New" w:cs="Times New Roman"/>
      </w:rPr>
    </w:lvl>
    <w:lvl w:ilvl="5">
      <w:start w:val="1"/>
      <w:numFmt w:val="none"/>
      <w:lvlText w:val=""/>
      <w:legacy w:legacy="1" w:legacySpace="120" w:legacyIndent="360"/>
      <w:lvlJc w:val="left"/>
      <w:pPr>
        <w:ind w:left="2160" w:hanging="360"/>
      </w:pPr>
      <w:rPr>
        <w:rFonts w:ascii="Wingdings" w:hAnsi="Wingdings" w:cs="Times New Roman"/>
      </w:rPr>
    </w:lvl>
    <w:lvl w:ilvl="6">
      <w:start w:val="1"/>
      <w:numFmt w:val="none"/>
      <w:lvlText w:val=""/>
      <w:legacy w:legacy="1" w:legacySpace="120" w:legacyIndent="360"/>
      <w:lvlJc w:val="left"/>
      <w:pPr>
        <w:ind w:left="2520" w:hanging="360"/>
      </w:pPr>
      <w:rPr>
        <w:rFonts w:ascii="Symbol" w:hAnsi="Symbol" w:cs="Times New Roman"/>
      </w:rPr>
    </w:lvl>
    <w:lvl w:ilvl="7">
      <w:start w:val="1"/>
      <w:numFmt w:val="none"/>
      <w:lvlText w:val="o"/>
      <w:legacy w:legacy="1" w:legacySpace="120" w:legacyIndent="360"/>
      <w:lvlJc w:val="left"/>
      <w:pPr>
        <w:ind w:left="2880" w:hanging="360"/>
      </w:pPr>
      <w:rPr>
        <w:rFonts w:ascii="Courier New" w:hAnsi="Courier New" w:cs="Times New Roman"/>
      </w:rPr>
    </w:lvl>
    <w:lvl w:ilvl="8">
      <w:start w:val="1"/>
      <w:numFmt w:val="none"/>
      <w:lvlText w:val=""/>
      <w:legacy w:legacy="1" w:legacySpace="120" w:legacyIndent="360"/>
      <w:lvlJc w:val="left"/>
      <w:pPr>
        <w:ind w:left="3240" w:hanging="360"/>
      </w:pPr>
      <w:rPr>
        <w:rFonts w:ascii="Wingdings" w:hAnsi="Wingdings" w:cs="Times New Roman"/>
      </w:rPr>
    </w:lvl>
  </w:abstractNum>
  <w:abstractNum w:abstractNumId="40" w15:restartNumberingAfterBreak="0">
    <w:nsid w:val="566D4F3B"/>
    <w:multiLevelType w:val="hybridMultilevel"/>
    <w:tmpl w:val="B3C620E6"/>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41" w15:restartNumberingAfterBreak="0">
    <w:nsid w:val="567F7EE9"/>
    <w:multiLevelType w:val="hybridMultilevel"/>
    <w:tmpl w:val="17CAE9BE"/>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42" w15:restartNumberingAfterBreak="0">
    <w:nsid w:val="59C352E6"/>
    <w:multiLevelType w:val="hybridMultilevel"/>
    <w:tmpl w:val="07DC0422"/>
    <w:lvl w:ilvl="0" w:tplc="FFFFFFFF">
      <w:start w:val="5"/>
      <w:numFmt w:val="decimal"/>
      <w:pStyle w:val="listparagraphprodoc"/>
      <w:lvlText w:val="%1."/>
      <w:lvlJc w:val="left"/>
      <w:pPr>
        <w:ind w:left="360" w:hanging="360"/>
      </w:pPr>
      <w:rPr>
        <w:rFonts w:cs="Times New Roman" w:hint="default"/>
        <w:b w:val="0"/>
        <w:i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15:restartNumberingAfterBreak="0">
    <w:nsid w:val="5AA0013A"/>
    <w:multiLevelType w:val="multilevel"/>
    <w:tmpl w:val="B8CC1C62"/>
    <w:lvl w:ilvl="0">
      <w:start w:val="1"/>
      <w:numFmt w:val="lowerLetter"/>
      <w:lvlText w:val="%1)"/>
      <w:lvlJc w:val="left"/>
      <w:pPr>
        <w:tabs>
          <w:tab w:val="num" w:pos="360"/>
        </w:tabs>
        <w:ind w:left="360" w:hanging="360"/>
      </w:pPr>
      <w:rPr>
        <w:rFonts w:cs="Times New Roman"/>
        <w:sz w:val="20"/>
      </w:rPr>
    </w:lvl>
    <w:lvl w:ilvl="1">
      <w:start w:val="1"/>
      <w:numFmt w:val="bullet"/>
      <w:lvlText w:val=""/>
      <w:lvlJc w:val="left"/>
      <w:pPr>
        <w:tabs>
          <w:tab w:val="num" w:pos="360"/>
        </w:tabs>
      </w:pPr>
      <w:rPr>
        <w:rFonts w:ascii="Wingdings" w:hAnsi="Wingdings"/>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15:restartNumberingAfterBreak="0">
    <w:nsid w:val="5C697164"/>
    <w:multiLevelType w:val="hybridMultilevel"/>
    <w:tmpl w:val="933C131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5" w15:restartNumberingAfterBreak="0">
    <w:nsid w:val="5D891288"/>
    <w:multiLevelType w:val="multilevel"/>
    <w:tmpl w:val="EBCA326E"/>
    <w:lvl w:ilvl="0">
      <w:start w:val="1"/>
      <w:numFmt w:val="none"/>
      <w:lvlText w:val=""/>
      <w:legacy w:legacy="1" w:legacySpace="120" w:legacyIndent="360"/>
      <w:lvlJc w:val="left"/>
      <w:pPr>
        <w:ind w:left="360" w:hanging="360"/>
      </w:pPr>
      <w:rPr>
        <w:rFonts w:ascii="Symbol" w:hAnsi="Symbol" w:cs="Times New Roman"/>
      </w:rPr>
    </w:lvl>
    <w:lvl w:ilvl="1">
      <w:start w:val="1"/>
      <w:numFmt w:val="none"/>
      <w:lvlText w:val="o"/>
      <w:legacy w:legacy="1" w:legacySpace="120" w:legacyIndent="360"/>
      <w:lvlJc w:val="left"/>
      <w:pPr>
        <w:ind w:left="720" w:hanging="360"/>
      </w:pPr>
      <w:rPr>
        <w:rFonts w:ascii="Courier New" w:hAnsi="Courier New" w:cs="Times New Roman"/>
      </w:rPr>
    </w:lvl>
    <w:lvl w:ilvl="2">
      <w:start w:val="1"/>
      <w:numFmt w:val="none"/>
      <w:lvlText w:val=""/>
      <w:legacy w:legacy="1" w:legacySpace="120" w:legacyIndent="360"/>
      <w:lvlJc w:val="left"/>
      <w:pPr>
        <w:ind w:left="1080" w:hanging="360"/>
      </w:pPr>
      <w:rPr>
        <w:rFonts w:ascii="Wingdings" w:hAnsi="Wingdings" w:cs="Times New Roman"/>
      </w:rPr>
    </w:lvl>
    <w:lvl w:ilvl="3">
      <w:start w:val="1"/>
      <w:numFmt w:val="none"/>
      <w:lvlText w:val=""/>
      <w:legacy w:legacy="1" w:legacySpace="120" w:legacyIndent="360"/>
      <w:lvlJc w:val="left"/>
      <w:pPr>
        <w:ind w:left="1440" w:hanging="360"/>
      </w:pPr>
      <w:rPr>
        <w:rFonts w:ascii="Symbol" w:hAnsi="Symbol" w:cs="Times New Roman"/>
      </w:rPr>
    </w:lvl>
    <w:lvl w:ilvl="4">
      <w:start w:val="1"/>
      <w:numFmt w:val="none"/>
      <w:lvlText w:val="o"/>
      <w:legacy w:legacy="1" w:legacySpace="120" w:legacyIndent="360"/>
      <w:lvlJc w:val="left"/>
      <w:pPr>
        <w:ind w:left="1800" w:hanging="360"/>
      </w:pPr>
      <w:rPr>
        <w:rFonts w:ascii="Courier New" w:hAnsi="Courier New" w:cs="Times New Roman"/>
      </w:rPr>
    </w:lvl>
    <w:lvl w:ilvl="5">
      <w:start w:val="1"/>
      <w:numFmt w:val="none"/>
      <w:lvlText w:val=""/>
      <w:legacy w:legacy="1" w:legacySpace="120" w:legacyIndent="360"/>
      <w:lvlJc w:val="left"/>
      <w:pPr>
        <w:ind w:left="2160" w:hanging="360"/>
      </w:pPr>
      <w:rPr>
        <w:rFonts w:ascii="Wingdings" w:hAnsi="Wingdings" w:cs="Times New Roman"/>
      </w:rPr>
    </w:lvl>
    <w:lvl w:ilvl="6">
      <w:start w:val="1"/>
      <w:numFmt w:val="none"/>
      <w:lvlText w:val=""/>
      <w:legacy w:legacy="1" w:legacySpace="120" w:legacyIndent="360"/>
      <w:lvlJc w:val="left"/>
      <w:pPr>
        <w:ind w:left="2520" w:hanging="360"/>
      </w:pPr>
      <w:rPr>
        <w:rFonts w:ascii="Symbol" w:hAnsi="Symbol" w:cs="Times New Roman"/>
      </w:rPr>
    </w:lvl>
    <w:lvl w:ilvl="7">
      <w:start w:val="1"/>
      <w:numFmt w:val="none"/>
      <w:lvlText w:val="o"/>
      <w:legacy w:legacy="1" w:legacySpace="120" w:legacyIndent="360"/>
      <w:lvlJc w:val="left"/>
      <w:pPr>
        <w:ind w:left="2880" w:hanging="360"/>
      </w:pPr>
      <w:rPr>
        <w:rFonts w:ascii="Courier New" w:hAnsi="Courier New" w:cs="Times New Roman"/>
      </w:rPr>
    </w:lvl>
    <w:lvl w:ilvl="8">
      <w:start w:val="1"/>
      <w:numFmt w:val="none"/>
      <w:lvlText w:val=""/>
      <w:legacy w:legacy="1" w:legacySpace="120" w:legacyIndent="360"/>
      <w:lvlJc w:val="left"/>
      <w:pPr>
        <w:ind w:left="3240" w:hanging="360"/>
      </w:pPr>
      <w:rPr>
        <w:rFonts w:ascii="Wingdings" w:hAnsi="Wingdings" w:cs="Times New Roman"/>
      </w:rPr>
    </w:lvl>
  </w:abstractNum>
  <w:abstractNum w:abstractNumId="46" w15:restartNumberingAfterBreak="0">
    <w:nsid w:val="60B0090F"/>
    <w:multiLevelType w:val="hybridMultilevel"/>
    <w:tmpl w:val="7152EA4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7" w15:restartNumberingAfterBreak="0">
    <w:nsid w:val="621F17B7"/>
    <w:multiLevelType w:val="hybridMultilevel"/>
    <w:tmpl w:val="11B463A8"/>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48" w15:restartNumberingAfterBreak="0">
    <w:nsid w:val="64183A97"/>
    <w:multiLevelType w:val="hybridMultilevel"/>
    <w:tmpl w:val="0DE20DA0"/>
    <w:lvl w:ilvl="0" w:tplc="FFFFFFFF">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58C7EA8"/>
    <w:multiLevelType w:val="hybridMultilevel"/>
    <w:tmpl w:val="B7C48B60"/>
    <w:lvl w:ilvl="0" w:tplc="FFFFFFFF">
      <w:start w:val="1"/>
      <w:numFmt w:val="bullet"/>
      <w:pStyle w:val="Bullets"/>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E267C05"/>
    <w:multiLevelType w:val="hybridMultilevel"/>
    <w:tmpl w:val="5C50D41E"/>
    <w:lvl w:ilvl="0" w:tplc="00000000">
      <w:start w:val="1"/>
      <w:numFmt w:val="bullet"/>
      <w:lvlText w:val=""/>
      <w:lvlJc w:val="left"/>
      <w:pPr>
        <w:tabs>
          <w:tab w:val="num" w:pos="360"/>
        </w:tabs>
        <w:ind w:left="360" w:hanging="360"/>
      </w:pPr>
      <w:rPr>
        <w:rFonts w:ascii="Wingdings" w:hAnsi="Wingdings"/>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51" w15:restartNumberingAfterBreak="0">
    <w:nsid w:val="70D4343A"/>
    <w:multiLevelType w:val="hybridMultilevel"/>
    <w:tmpl w:val="01C8AD76"/>
    <w:lvl w:ilvl="0" w:tplc="FFFFFFFF">
      <w:start w:val="1"/>
      <w:numFmt w:val="decimal"/>
      <w:lvlText w:val="%1."/>
      <w:lvlJc w:val="left"/>
      <w:pPr>
        <w:ind w:left="-180" w:hanging="360"/>
      </w:pPr>
      <w:rPr>
        <w:rFonts w:ascii="Times New Roman Bold" w:hAnsi="Times New Roman Bold" w:cs="Times New Roman" w:hint="default"/>
      </w:rPr>
    </w:lvl>
    <w:lvl w:ilvl="1" w:tplc="FFFFFFFF" w:tentative="1">
      <w:start w:val="1"/>
      <w:numFmt w:val="lowerLetter"/>
      <w:lvlText w:val="%2."/>
      <w:lvlJc w:val="left"/>
      <w:pPr>
        <w:ind w:left="540" w:hanging="360"/>
      </w:pPr>
      <w:rPr>
        <w:rFonts w:cs="Times New Roman"/>
      </w:rPr>
    </w:lvl>
    <w:lvl w:ilvl="2" w:tplc="FFFFFFFF" w:tentative="1">
      <w:start w:val="1"/>
      <w:numFmt w:val="lowerRoman"/>
      <w:lvlText w:val="%3."/>
      <w:lvlJc w:val="right"/>
      <w:pPr>
        <w:ind w:left="1260" w:hanging="180"/>
      </w:pPr>
      <w:rPr>
        <w:rFonts w:cs="Times New Roman"/>
      </w:rPr>
    </w:lvl>
    <w:lvl w:ilvl="3" w:tplc="FFFFFFFF" w:tentative="1">
      <w:start w:val="1"/>
      <w:numFmt w:val="decimal"/>
      <w:lvlText w:val="%4."/>
      <w:lvlJc w:val="left"/>
      <w:pPr>
        <w:ind w:left="1980" w:hanging="360"/>
      </w:pPr>
      <w:rPr>
        <w:rFonts w:cs="Times New Roman"/>
      </w:rPr>
    </w:lvl>
    <w:lvl w:ilvl="4" w:tplc="FFFFFFFF" w:tentative="1">
      <w:start w:val="1"/>
      <w:numFmt w:val="lowerLetter"/>
      <w:lvlText w:val="%5."/>
      <w:lvlJc w:val="left"/>
      <w:pPr>
        <w:ind w:left="270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4140" w:hanging="360"/>
      </w:pPr>
      <w:rPr>
        <w:rFonts w:cs="Times New Roman"/>
      </w:rPr>
    </w:lvl>
    <w:lvl w:ilvl="7" w:tplc="FFFFFFFF" w:tentative="1">
      <w:start w:val="1"/>
      <w:numFmt w:val="lowerLetter"/>
      <w:lvlText w:val="%8."/>
      <w:lvlJc w:val="left"/>
      <w:pPr>
        <w:ind w:left="4860" w:hanging="360"/>
      </w:pPr>
      <w:rPr>
        <w:rFonts w:cs="Times New Roman"/>
      </w:rPr>
    </w:lvl>
    <w:lvl w:ilvl="8" w:tplc="FFFFFFFF" w:tentative="1">
      <w:start w:val="1"/>
      <w:numFmt w:val="lowerRoman"/>
      <w:lvlText w:val="%9."/>
      <w:lvlJc w:val="right"/>
      <w:pPr>
        <w:ind w:left="5580" w:hanging="180"/>
      </w:pPr>
      <w:rPr>
        <w:rFonts w:cs="Times New Roman"/>
      </w:rPr>
    </w:lvl>
  </w:abstractNum>
  <w:abstractNum w:abstractNumId="52" w15:restartNumberingAfterBreak="0">
    <w:nsid w:val="71F04D64"/>
    <w:multiLevelType w:val="hybridMultilevel"/>
    <w:tmpl w:val="9A74FC9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71FC0E44"/>
    <w:multiLevelType w:val="hybridMultilevel"/>
    <w:tmpl w:val="79844A8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24C1719"/>
    <w:multiLevelType w:val="hybridMultilevel"/>
    <w:tmpl w:val="9912F4CA"/>
    <w:lvl w:ilvl="0" w:tplc="00000000">
      <w:start w:val="1"/>
      <w:numFmt w:val="bullet"/>
      <w:lvlText w:val=""/>
      <w:lvlJc w:val="left"/>
      <w:pPr>
        <w:tabs>
          <w:tab w:val="num" w:pos="720"/>
        </w:tabs>
        <w:ind w:left="720" w:hanging="360"/>
      </w:pPr>
      <w:rPr>
        <w:rFonts w:ascii="Symbol" w:hAnsi="Symbol"/>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55" w15:restartNumberingAfterBreak="0">
    <w:nsid w:val="75FA5416"/>
    <w:multiLevelType w:val="hybridMultilevel"/>
    <w:tmpl w:val="7584E824"/>
    <w:lvl w:ilvl="0" w:tplc="FFFFFFFF">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97E1710"/>
    <w:multiLevelType w:val="singleLevel"/>
    <w:tmpl w:val="9ADEB6FE"/>
    <w:lvl w:ilvl="0">
      <w:start w:val="1"/>
      <w:numFmt w:val="bullet"/>
      <w:pStyle w:val="outlinebullet"/>
      <w:lvlText w:val=""/>
      <w:lvlJc w:val="left"/>
      <w:pPr>
        <w:tabs>
          <w:tab w:val="num" w:pos="284"/>
        </w:tabs>
        <w:ind w:left="284" w:hanging="284"/>
      </w:pPr>
      <w:rPr>
        <w:rFonts w:ascii="Symbol" w:hAnsi="Symbol" w:hint="default"/>
      </w:rPr>
    </w:lvl>
  </w:abstractNum>
  <w:abstractNum w:abstractNumId="57" w15:restartNumberingAfterBreak="0">
    <w:nsid w:val="7F7D2700"/>
    <w:multiLevelType w:val="hybridMultilevel"/>
    <w:tmpl w:val="BEC045B2"/>
    <w:lvl w:ilvl="0" w:tplc="FFFFFFFF">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hint="default"/>
      </w:rPr>
    </w:lvl>
    <w:lvl w:ilvl="8" w:tplc="FFFFFFFF" w:tentative="1">
      <w:start w:val="1"/>
      <w:numFmt w:val="bullet"/>
      <w:lvlText w:val=""/>
      <w:lvlJc w:val="left"/>
      <w:pPr>
        <w:ind w:left="5580" w:hanging="360"/>
      </w:pPr>
      <w:rPr>
        <w:rFonts w:ascii="Wingdings" w:hAnsi="Wingdings" w:hint="default"/>
      </w:rPr>
    </w:lvl>
  </w:abstractNum>
  <w:num w:numId="1">
    <w:abstractNumId w:val="11"/>
  </w:num>
  <w:num w:numId="2">
    <w:abstractNumId w:val="49"/>
  </w:num>
  <w:num w:numId="3">
    <w:abstractNumId w:val="25"/>
  </w:num>
  <w:num w:numId="4">
    <w:abstractNumId w:val="56"/>
  </w:num>
  <w:num w:numId="5">
    <w:abstractNumId w:val="23"/>
  </w:num>
  <w:num w:numId="6">
    <w:abstractNumId w:val="42"/>
  </w:num>
  <w:num w:numId="7">
    <w:abstractNumId w:val="32"/>
  </w:num>
  <w:num w:numId="8">
    <w:abstractNumId w:val="20"/>
  </w:num>
  <w:num w:numId="9">
    <w:abstractNumId w:val="14"/>
  </w:num>
  <w:num w:numId="10">
    <w:abstractNumId w:val="51"/>
  </w:num>
  <w:num w:numId="11">
    <w:abstractNumId w:val="27"/>
  </w:num>
  <w:num w:numId="12">
    <w:abstractNumId w:val="18"/>
  </w:num>
  <w:num w:numId="13">
    <w:abstractNumId w:val="29"/>
  </w:num>
  <w:num w:numId="14">
    <w:abstractNumId w:val="48"/>
  </w:num>
  <w:num w:numId="15">
    <w:abstractNumId w:val="34"/>
  </w:num>
  <w:num w:numId="16">
    <w:abstractNumId w:val="57"/>
  </w:num>
  <w:num w:numId="17">
    <w:abstractNumId w:val="36"/>
  </w:num>
  <w:num w:numId="18">
    <w:abstractNumId w:val="28"/>
  </w:num>
  <w:num w:numId="19">
    <w:abstractNumId w:val="53"/>
  </w:num>
  <w:num w:numId="20">
    <w:abstractNumId w:val="55"/>
  </w:num>
  <w:num w:numId="21">
    <w:abstractNumId w:val="37"/>
  </w:num>
  <w:num w:numId="22">
    <w:abstractNumId w:val="35"/>
  </w:num>
  <w:num w:numId="23">
    <w:abstractNumId w:val="9"/>
  </w:num>
  <w:num w:numId="24">
    <w:abstractNumId w:val="8"/>
  </w:num>
  <w:num w:numId="25">
    <w:abstractNumId w:val="52"/>
  </w:num>
  <w:num w:numId="26">
    <w:abstractNumId w:val="24"/>
  </w:num>
  <w:num w:numId="27">
    <w:abstractNumId w:val="10"/>
  </w:num>
  <w:num w:numId="28">
    <w:abstractNumId w:val="41"/>
  </w:num>
  <w:num w:numId="29">
    <w:abstractNumId w:val="26"/>
  </w:num>
  <w:num w:numId="30">
    <w:abstractNumId w:val="47"/>
  </w:num>
  <w:num w:numId="31">
    <w:abstractNumId w:val="33"/>
  </w:num>
  <w:num w:numId="32">
    <w:abstractNumId w:val="30"/>
  </w:num>
  <w:num w:numId="33">
    <w:abstractNumId w:val="40"/>
  </w:num>
  <w:num w:numId="34">
    <w:abstractNumId w:val="31"/>
  </w:num>
  <w:num w:numId="35">
    <w:abstractNumId w:val="38"/>
  </w:num>
  <w:num w:numId="36">
    <w:abstractNumId w:val="50"/>
  </w:num>
  <w:num w:numId="37">
    <w:abstractNumId w:val="19"/>
  </w:num>
  <w:num w:numId="38">
    <w:abstractNumId w:val="16"/>
  </w:num>
  <w:num w:numId="39">
    <w:abstractNumId w:val="43"/>
  </w:num>
  <w:num w:numId="40">
    <w:abstractNumId w:val="54"/>
  </w:num>
  <w:num w:numId="41">
    <w:abstractNumId w:val="45"/>
  </w:num>
  <w:num w:numId="42">
    <w:abstractNumId w:val="15"/>
  </w:num>
  <w:num w:numId="43">
    <w:abstractNumId w:val="17"/>
  </w:num>
  <w:num w:numId="44">
    <w:abstractNumId w:val="21"/>
  </w:num>
  <w:num w:numId="45">
    <w:abstractNumId w:val="39"/>
  </w:num>
  <w:num w:numId="46">
    <w:abstractNumId w:val="12"/>
  </w:num>
  <w:num w:numId="47">
    <w:abstractNumId w:val="13"/>
  </w:num>
  <w:num w:numId="48">
    <w:abstractNumId w:val="22"/>
  </w:num>
  <w:num w:numId="49">
    <w:abstractNumId w:val="46"/>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1740A"/>
    <w:rsid w:val="0002487B"/>
    <w:rsid w:val="00036FFD"/>
    <w:rsid w:val="00044DDC"/>
    <w:rsid w:val="00051895"/>
    <w:rsid w:val="00064011"/>
    <w:rsid w:val="0007496C"/>
    <w:rsid w:val="00075C6B"/>
    <w:rsid w:val="00080148"/>
    <w:rsid w:val="0008584B"/>
    <w:rsid w:val="000C3ED0"/>
    <w:rsid w:val="000C4537"/>
    <w:rsid w:val="000E6CB0"/>
    <w:rsid w:val="000E7BFD"/>
    <w:rsid w:val="000F163E"/>
    <w:rsid w:val="000F2094"/>
    <w:rsid w:val="001324FF"/>
    <w:rsid w:val="00174C5D"/>
    <w:rsid w:val="00185146"/>
    <w:rsid w:val="001A7BB1"/>
    <w:rsid w:val="001B5A20"/>
    <w:rsid w:val="001C5E81"/>
    <w:rsid w:val="001C66FE"/>
    <w:rsid w:val="001E155E"/>
    <w:rsid w:val="001E4AF7"/>
    <w:rsid w:val="001F1343"/>
    <w:rsid w:val="001F51CC"/>
    <w:rsid w:val="001F52B2"/>
    <w:rsid w:val="00205323"/>
    <w:rsid w:val="002130C2"/>
    <w:rsid w:val="00221B25"/>
    <w:rsid w:val="00224B94"/>
    <w:rsid w:val="00240C4A"/>
    <w:rsid w:val="0024411E"/>
    <w:rsid w:val="002445FC"/>
    <w:rsid w:val="00251CE3"/>
    <w:rsid w:val="002618CE"/>
    <w:rsid w:val="002877E9"/>
    <w:rsid w:val="0029082F"/>
    <w:rsid w:val="002A5AE4"/>
    <w:rsid w:val="002B3E67"/>
    <w:rsid w:val="002B5ACF"/>
    <w:rsid w:val="002E0DE0"/>
    <w:rsid w:val="003025B9"/>
    <w:rsid w:val="0033026B"/>
    <w:rsid w:val="003523AD"/>
    <w:rsid w:val="00354C58"/>
    <w:rsid w:val="00356DBA"/>
    <w:rsid w:val="0036377C"/>
    <w:rsid w:val="00371781"/>
    <w:rsid w:val="0039109C"/>
    <w:rsid w:val="003A3152"/>
    <w:rsid w:val="003A684B"/>
    <w:rsid w:val="003A715E"/>
    <w:rsid w:val="003D2238"/>
    <w:rsid w:val="003D6683"/>
    <w:rsid w:val="00414ED3"/>
    <w:rsid w:val="004159AD"/>
    <w:rsid w:val="00424365"/>
    <w:rsid w:val="00442D9D"/>
    <w:rsid w:val="00453AD8"/>
    <w:rsid w:val="00471BF5"/>
    <w:rsid w:val="004737D0"/>
    <w:rsid w:val="004C6DBD"/>
    <w:rsid w:val="004E4047"/>
    <w:rsid w:val="004F2CBA"/>
    <w:rsid w:val="00511EFD"/>
    <w:rsid w:val="005329C0"/>
    <w:rsid w:val="00543BBB"/>
    <w:rsid w:val="00550958"/>
    <w:rsid w:val="005609BD"/>
    <w:rsid w:val="00563CFE"/>
    <w:rsid w:val="005B6B3A"/>
    <w:rsid w:val="005D1314"/>
    <w:rsid w:val="005D2135"/>
    <w:rsid w:val="005D7083"/>
    <w:rsid w:val="005D72E6"/>
    <w:rsid w:val="005F301D"/>
    <w:rsid w:val="006002AF"/>
    <w:rsid w:val="00610B04"/>
    <w:rsid w:val="006257AC"/>
    <w:rsid w:val="00626054"/>
    <w:rsid w:val="00626BAB"/>
    <w:rsid w:val="006474D5"/>
    <w:rsid w:val="006608EA"/>
    <w:rsid w:val="0066116C"/>
    <w:rsid w:val="00667FBB"/>
    <w:rsid w:val="006D16A1"/>
    <w:rsid w:val="006E0A04"/>
    <w:rsid w:val="006E299C"/>
    <w:rsid w:val="006F7F4D"/>
    <w:rsid w:val="007077F2"/>
    <w:rsid w:val="00723B7C"/>
    <w:rsid w:val="007314D8"/>
    <w:rsid w:val="00740A6B"/>
    <w:rsid w:val="007562CF"/>
    <w:rsid w:val="0076445A"/>
    <w:rsid w:val="0077197C"/>
    <w:rsid w:val="00771CD1"/>
    <w:rsid w:val="00772816"/>
    <w:rsid w:val="00790033"/>
    <w:rsid w:val="00797D37"/>
    <w:rsid w:val="007E7BF9"/>
    <w:rsid w:val="007F4D48"/>
    <w:rsid w:val="007F5029"/>
    <w:rsid w:val="00810E63"/>
    <w:rsid w:val="00824923"/>
    <w:rsid w:val="00842CC6"/>
    <w:rsid w:val="00865A23"/>
    <w:rsid w:val="008716F7"/>
    <w:rsid w:val="00891B77"/>
    <w:rsid w:val="0089525B"/>
    <w:rsid w:val="008A1BAC"/>
    <w:rsid w:val="008B0963"/>
    <w:rsid w:val="008B30C9"/>
    <w:rsid w:val="008C3876"/>
    <w:rsid w:val="008E0ADD"/>
    <w:rsid w:val="008F6878"/>
    <w:rsid w:val="00912D9F"/>
    <w:rsid w:val="009332C4"/>
    <w:rsid w:val="0093680F"/>
    <w:rsid w:val="00953F89"/>
    <w:rsid w:val="00971642"/>
    <w:rsid w:val="00983B08"/>
    <w:rsid w:val="00991FF7"/>
    <w:rsid w:val="00997CB5"/>
    <w:rsid w:val="009C2DA5"/>
    <w:rsid w:val="009C4326"/>
    <w:rsid w:val="009E6FFE"/>
    <w:rsid w:val="009E7739"/>
    <w:rsid w:val="009F73AA"/>
    <w:rsid w:val="00A002FD"/>
    <w:rsid w:val="00A06335"/>
    <w:rsid w:val="00A1492B"/>
    <w:rsid w:val="00A2215B"/>
    <w:rsid w:val="00A47585"/>
    <w:rsid w:val="00A75B4F"/>
    <w:rsid w:val="00A824A0"/>
    <w:rsid w:val="00A94871"/>
    <w:rsid w:val="00AA6DCA"/>
    <w:rsid w:val="00AB0756"/>
    <w:rsid w:val="00AC6934"/>
    <w:rsid w:val="00AE708E"/>
    <w:rsid w:val="00AF7851"/>
    <w:rsid w:val="00B0487F"/>
    <w:rsid w:val="00B06EAC"/>
    <w:rsid w:val="00B11A4E"/>
    <w:rsid w:val="00B14A42"/>
    <w:rsid w:val="00B62182"/>
    <w:rsid w:val="00B77F2D"/>
    <w:rsid w:val="00B856CF"/>
    <w:rsid w:val="00B8737C"/>
    <w:rsid w:val="00B934BF"/>
    <w:rsid w:val="00BC6B93"/>
    <w:rsid w:val="00BE366C"/>
    <w:rsid w:val="00BE553F"/>
    <w:rsid w:val="00C026AC"/>
    <w:rsid w:val="00C14395"/>
    <w:rsid w:val="00C14545"/>
    <w:rsid w:val="00C313E0"/>
    <w:rsid w:val="00C3798F"/>
    <w:rsid w:val="00C7180F"/>
    <w:rsid w:val="00C77FA3"/>
    <w:rsid w:val="00C81272"/>
    <w:rsid w:val="00CA41E3"/>
    <w:rsid w:val="00CA7034"/>
    <w:rsid w:val="00CC491D"/>
    <w:rsid w:val="00CD4990"/>
    <w:rsid w:val="00CE2E33"/>
    <w:rsid w:val="00CE7B3B"/>
    <w:rsid w:val="00CF7B37"/>
    <w:rsid w:val="00D009E4"/>
    <w:rsid w:val="00D11CE8"/>
    <w:rsid w:val="00D2300C"/>
    <w:rsid w:val="00D46179"/>
    <w:rsid w:val="00D5208F"/>
    <w:rsid w:val="00D54D71"/>
    <w:rsid w:val="00D55A10"/>
    <w:rsid w:val="00D57289"/>
    <w:rsid w:val="00D61B84"/>
    <w:rsid w:val="00D6708C"/>
    <w:rsid w:val="00D91EB6"/>
    <w:rsid w:val="00D950CA"/>
    <w:rsid w:val="00DE2FEB"/>
    <w:rsid w:val="00DE5F23"/>
    <w:rsid w:val="00E0433E"/>
    <w:rsid w:val="00E301A5"/>
    <w:rsid w:val="00E34696"/>
    <w:rsid w:val="00E4206C"/>
    <w:rsid w:val="00E52D3D"/>
    <w:rsid w:val="00E56F6C"/>
    <w:rsid w:val="00E726E9"/>
    <w:rsid w:val="00E85D71"/>
    <w:rsid w:val="00E97E42"/>
    <w:rsid w:val="00EB5F44"/>
    <w:rsid w:val="00EF538B"/>
    <w:rsid w:val="00F168C0"/>
    <w:rsid w:val="00F177D4"/>
    <w:rsid w:val="00F27B13"/>
    <w:rsid w:val="00F46B36"/>
    <w:rsid w:val="00F50E52"/>
    <w:rsid w:val="00F520CE"/>
    <w:rsid w:val="00F544FD"/>
    <w:rsid w:val="00F61709"/>
    <w:rsid w:val="00F9069C"/>
    <w:rsid w:val="00FA1AED"/>
    <w:rsid w:val="00FB5C00"/>
    <w:rsid w:val="00FD5B26"/>
    <w:rsid w:val="00FE65B7"/>
    <w:rsid w:val="00FF36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DCB14B-3DD2-4C1A-972A-3409B9C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jc w:val="both"/>
    </w:pPr>
    <w:rPr>
      <w:rFonts w:ascii="Arial" w:hAnsi="Arial"/>
      <w:sz w:val="22"/>
      <w:szCs w:val="24"/>
      <w:lang w:val="fr-FR" w:eastAsia="fr-FR"/>
    </w:rPr>
  </w:style>
  <w:style w:type="paragraph" w:styleId="Titre1">
    <w:name w:val="heading 1"/>
    <w:basedOn w:val="Normal"/>
    <w:next w:val="Normal"/>
    <w:link w:val="Titre1Car"/>
    <w:uiPriority w:val="9"/>
    <w:qFormat/>
    <w:pPr>
      <w:keepNext/>
      <w:suppressAutoHyphens/>
      <w:spacing w:before="104" w:after="226"/>
      <w:outlineLvl w:val="0"/>
    </w:pPr>
    <w:rPr>
      <w:rFonts w:ascii="Times New Roman Bold" w:hAnsi="Times New Roman Bold"/>
      <w:b/>
      <w:smallCaps/>
      <w:spacing w:val="-2"/>
      <w:sz w:val="26"/>
      <w:szCs w:val="20"/>
    </w:rPr>
  </w:style>
  <w:style w:type="paragraph" w:styleId="Titre2">
    <w:name w:val="heading 2"/>
    <w:basedOn w:val="Normal"/>
    <w:next w:val="Normal"/>
    <w:link w:val="Titre2Car"/>
    <w:uiPriority w:val="9"/>
    <w:qFormat/>
    <w:pPr>
      <w:keepNext/>
      <w:ind w:left="720"/>
      <w:outlineLvl w:val="1"/>
    </w:pPr>
    <w:rPr>
      <w:rFonts w:ascii="Times New Roman Bold" w:hAnsi="Times New Roman Bold"/>
      <w:b/>
      <w:bCs/>
      <w:i/>
      <w:sz w:val="24"/>
    </w:rPr>
  </w:style>
  <w:style w:type="paragraph" w:styleId="Titre3">
    <w:name w:val="heading 3"/>
    <w:basedOn w:val="Normal"/>
    <w:next w:val="Normal"/>
    <w:link w:val="Titre3Car"/>
    <w:uiPriority w:val="9"/>
    <w:qFormat/>
    <w:pPr>
      <w:keepNext/>
      <w:widowControl w:val="0"/>
      <w:tabs>
        <w:tab w:val="left" w:pos="2160"/>
        <w:tab w:val="left" w:pos="9360"/>
      </w:tabs>
      <w:outlineLvl w:val="2"/>
    </w:pPr>
    <w:rPr>
      <w:rFonts w:ascii="Courier" w:hAnsi="Courier"/>
      <w:b/>
      <w:sz w:val="28"/>
      <w:szCs w:val="20"/>
    </w:rPr>
  </w:style>
  <w:style w:type="paragraph" w:styleId="Titre4">
    <w:name w:val="heading 4"/>
    <w:basedOn w:val="Normal"/>
    <w:next w:val="Normal"/>
    <w:link w:val="Titre4Car"/>
    <w:uiPriority w:val="9"/>
    <w:qFormat/>
    <w:pPr>
      <w:keepNext/>
      <w:widowControl w:val="0"/>
      <w:spacing w:after="540"/>
      <w:ind w:left="116"/>
      <w:outlineLvl w:val="3"/>
    </w:pPr>
    <w:rPr>
      <w:b/>
      <w:spacing w:val="15"/>
      <w:sz w:val="28"/>
    </w:rPr>
  </w:style>
  <w:style w:type="paragraph" w:styleId="Titre5">
    <w:name w:val="heading 5"/>
    <w:basedOn w:val="Normal"/>
    <w:next w:val="Normal"/>
    <w:link w:val="Titre5Car"/>
    <w:uiPriority w:val="9"/>
    <w:qFormat/>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Titre6">
    <w:name w:val="heading 6"/>
    <w:basedOn w:val="Normal"/>
    <w:next w:val="Normal"/>
    <w:link w:val="Titre6Car"/>
    <w:uiPriority w:val="9"/>
    <w:qFormat/>
    <w:pPr>
      <w:keepNext/>
      <w:spacing w:after="0"/>
      <w:ind w:left="1440"/>
      <w:outlineLvl w:val="5"/>
    </w:pPr>
    <w:rPr>
      <w:rFonts w:ascii="Times New Roman" w:hAnsi="Times New Roman"/>
      <w:i/>
      <w:iCs/>
      <w:sz w:val="24"/>
      <w:u w:val="single"/>
    </w:rPr>
  </w:style>
  <w:style w:type="paragraph" w:styleId="Titre7">
    <w:name w:val="heading 7"/>
    <w:basedOn w:val="Normal"/>
    <w:next w:val="Normal"/>
    <w:link w:val="Titre7Car"/>
    <w:uiPriority w:val="9"/>
    <w:qFormat/>
    <w:pPr>
      <w:keepNext/>
      <w:tabs>
        <w:tab w:val="num" w:pos="540"/>
      </w:tabs>
      <w:spacing w:after="0"/>
      <w:ind w:left="540" w:hanging="540"/>
      <w:outlineLvl w:val="6"/>
    </w:pPr>
    <w:rPr>
      <w:rFonts w:ascii="Times New Roman" w:hAnsi="Times New Roman"/>
      <w:sz w:val="24"/>
      <w:u w:val="single"/>
    </w:rPr>
  </w:style>
  <w:style w:type="paragraph" w:styleId="Titre8">
    <w:name w:val="heading 8"/>
    <w:basedOn w:val="Normal"/>
    <w:next w:val="Normal"/>
    <w:link w:val="Titre8Car"/>
    <w:uiPriority w:val="9"/>
    <w:qFormat/>
    <w:pPr>
      <w:spacing w:before="240"/>
      <w:outlineLvl w:val="7"/>
    </w:pPr>
    <w:rPr>
      <w:rFonts w:ascii="Calibri" w:hAnsi="Calibri"/>
      <w:i/>
      <w:iCs/>
      <w:sz w:val="24"/>
    </w:rPr>
  </w:style>
  <w:style w:type="paragraph" w:styleId="Titre9">
    <w:name w:val="heading 9"/>
    <w:basedOn w:val="Normal"/>
    <w:next w:val="Normal"/>
    <w:link w:val="Titre9Car"/>
    <w:uiPriority w:val="9"/>
    <w:qFormat/>
    <w:pPr>
      <w:keepNext/>
      <w:spacing w:after="0"/>
      <w:outlineLvl w:val="8"/>
    </w:pPr>
    <w:rPr>
      <w:rFonts w:ascii="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imes New Roman Bold" w:hAnsi="Times New Roman Bold" w:cs="Times New Roman"/>
      <w:b/>
      <w:smallCaps/>
      <w:spacing w:val="-2"/>
      <w:sz w:val="26"/>
      <w:lang w:val="fr-FR"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itre3Car">
    <w:name w:val="Titre 3 Car"/>
    <w:basedOn w:val="Policepardfaut"/>
    <w:link w:val="Titre3"/>
    <w:uiPriority w:val="9"/>
    <w:locked/>
    <w:rPr>
      <w:rFonts w:ascii="Cambria" w:hAnsi="Cambria" w:cs="Times New Roman"/>
      <w:b/>
      <w:sz w:val="26"/>
      <w:lang w:val="fr-FR" w:eastAsia="fr-FR"/>
    </w:rPr>
  </w:style>
  <w:style w:type="character" w:customStyle="1" w:styleId="Titre4Car">
    <w:name w:val="Titre 4 Car"/>
    <w:basedOn w:val="Policepardfaut"/>
    <w:link w:val="Titre4"/>
    <w:uiPriority w:val="9"/>
    <w:locked/>
    <w:rPr>
      <w:rFonts w:ascii="Calibri" w:hAnsi="Calibri" w:cs="Times New Roman"/>
      <w:b/>
      <w:sz w:val="28"/>
      <w:lang w:val="fr-FR" w:eastAsia="fr-FR"/>
    </w:rPr>
  </w:style>
  <w:style w:type="character" w:customStyle="1" w:styleId="Titre5Car">
    <w:name w:val="Titre 5 Car"/>
    <w:basedOn w:val="Policepardfaut"/>
    <w:link w:val="Titre5"/>
    <w:uiPriority w:val="9"/>
    <w:locked/>
    <w:rPr>
      <w:rFonts w:ascii="Calibri" w:hAnsi="Calibri" w:cs="Times New Roman"/>
      <w:b/>
      <w:i/>
      <w:sz w:val="26"/>
      <w:lang w:val="fr-FR" w:eastAsia="fr-FR"/>
    </w:rPr>
  </w:style>
  <w:style w:type="character" w:customStyle="1" w:styleId="Titre6Car">
    <w:name w:val="Titre 6 Car"/>
    <w:basedOn w:val="Policepardfaut"/>
    <w:link w:val="Titre6"/>
    <w:uiPriority w:val="9"/>
    <w:locked/>
    <w:rPr>
      <w:rFonts w:cs="Times New Roman"/>
      <w:i/>
      <w:sz w:val="24"/>
      <w:u w:val="single"/>
      <w:lang w:val="fr-FR" w:eastAsia="fr-FR"/>
    </w:rPr>
  </w:style>
  <w:style w:type="character" w:customStyle="1" w:styleId="Titre7Car">
    <w:name w:val="Titre 7 Car"/>
    <w:basedOn w:val="Policepardfaut"/>
    <w:link w:val="Titre7"/>
    <w:uiPriority w:val="9"/>
    <w:locked/>
    <w:rPr>
      <w:rFonts w:cs="Times New Roman"/>
      <w:sz w:val="24"/>
      <w:u w:val="single"/>
      <w:lang w:val="fr-FR" w:eastAsia="fr-FR"/>
    </w:rPr>
  </w:style>
  <w:style w:type="character" w:customStyle="1" w:styleId="Titre8Car">
    <w:name w:val="Titre 8 Car"/>
    <w:basedOn w:val="Policepardfaut"/>
    <w:link w:val="Titre8"/>
    <w:uiPriority w:val="99"/>
    <w:locked/>
    <w:rPr>
      <w:rFonts w:ascii="Calibri" w:hAnsi="Calibri" w:cs="Times New Roman"/>
      <w:i/>
      <w:sz w:val="24"/>
      <w:lang w:val="fr-FR" w:eastAsia="fr-FR"/>
    </w:rPr>
  </w:style>
  <w:style w:type="character" w:customStyle="1" w:styleId="Titre9Car">
    <w:name w:val="Titre 9 Car"/>
    <w:basedOn w:val="Policepardfaut"/>
    <w:link w:val="Titre9"/>
    <w:uiPriority w:val="9"/>
    <w:locked/>
    <w:rPr>
      <w:rFonts w:cs="Times New Roman"/>
      <w:b/>
      <w:sz w:val="24"/>
      <w:lang w:val="fr-FR" w:eastAsia="fr-FR"/>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locked/>
    <w:rPr>
      <w:rFonts w:ascii="Arial" w:hAnsi="Arial" w:cs="Times New Roman"/>
      <w:sz w:val="24"/>
      <w:lang w:val="fr-FR" w:eastAsia="fr-FR"/>
    </w:rPr>
  </w:style>
  <w:style w:type="character" w:customStyle="1" w:styleId="Titre2Car">
    <w:name w:val="Titre 2 Car"/>
    <w:basedOn w:val="Policepardfaut"/>
    <w:link w:val="Titre2"/>
    <w:uiPriority w:val="9"/>
    <w:locked/>
    <w:rPr>
      <w:rFonts w:ascii="Times New Roman Bold" w:hAnsi="Times New Roman Bold" w:cs="Times New Roman"/>
      <w:b/>
      <w:i/>
      <w:sz w:val="24"/>
      <w:lang w:val="fr-FR" w:eastAsia="fr-FR"/>
    </w:rPr>
  </w:style>
  <w:style w:type="character" w:styleId="Marquedecommentaire">
    <w:name w:val="annotation reference"/>
    <w:basedOn w:val="Policepardfaut"/>
    <w:uiPriority w:val="99"/>
    <w:rPr>
      <w:rFonts w:cs="Times New Roman"/>
      <w:sz w:val="16"/>
      <w:lang w:val="fr-FR" w:eastAsia="fr-FR"/>
    </w:rPr>
  </w:style>
  <w:style w:type="paragraph" w:styleId="Commentaire">
    <w:name w:val="annotation text"/>
    <w:basedOn w:val="Normal"/>
    <w:link w:val="CommentaireCar"/>
    <w:uiPriority w:val="99"/>
    <w:rPr>
      <w:szCs w:val="20"/>
    </w:rPr>
  </w:style>
  <w:style w:type="character" w:customStyle="1" w:styleId="CommentaireCar">
    <w:name w:val="Commentaire Car"/>
    <w:basedOn w:val="Policepardfaut"/>
    <w:link w:val="Commentaire"/>
    <w:uiPriority w:val="99"/>
    <w:locked/>
    <w:rPr>
      <w:rFonts w:ascii="Arial" w:hAnsi="Arial" w:cs="Times New Roman"/>
      <w:lang w:val="fr-FR" w:eastAsia="fr-FR"/>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locked/>
    <w:rPr>
      <w:rFonts w:ascii="Arial" w:hAnsi="Arial" w:cs="Times New Roman"/>
      <w:sz w:val="24"/>
      <w:lang w:val="fr-FR" w:eastAsia="fr-FR"/>
    </w:rPr>
  </w:style>
  <w:style w:type="character" w:customStyle="1" w:styleId="TextedebullesCar">
    <w:name w:val="Texte de bulles Car"/>
    <w:basedOn w:val="Policepardfaut"/>
    <w:link w:val="Textedebulles"/>
    <w:uiPriority w:val="99"/>
    <w:semiHidden/>
    <w:locked/>
    <w:rPr>
      <w:rFonts w:cs="Times New Roman"/>
      <w:sz w:val="2"/>
      <w:lang w:val="fr-FR" w:eastAsia="fr-FR"/>
    </w:rPr>
  </w:style>
  <w:style w:type="character" w:styleId="Numrodepage">
    <w:name w:val="page number"/>
    <w:basedOn w:val="Policepardfaut"/>
    <w:uiPriority w:val="99"/>
    <w:rPr>
      <w:rFonts w:cs="Times New Roman"/>
      <w:lang w:val="fr-FR" w:eastAsia="fr-FR"/>
    </w:rPr>
  </w:style>
  <w:style w:type="paragraph" w:styleId="Notedebasdepage">
    <w:name w:val="footnote text"/>
    <w:aliases w:val="Geneva 9,Font: Geneva 9,Boston 10,f,single space,Footnote,otnote Text,ADB,fn,Texto nota pie IIRSA,Fußnote,F,Style 25,ft,Char Char Char Char,ADB Char Char,ADB Char Char Char,ADB Char Char Char Char Char Char Char"/>
    <w:basedOn w:val="Normal"/>
    <w:link w:val="NotedebasdepageCar"/>
    <w:uiPriority w:val="99"/>
    <w:qFormat/>
    <w:pPr>
      <w:widowControl w:val="0"/>
    </w:pPr>
    <w:rPr>
      <w:rFonts w:ascii="Courier" w:hAnsi="Courier"/>
      <w:szCs w:val="20"/>
    </w:rPr>
  </w:style>
  <w:style w:type="character" w:customStyle="1" w:styleId="BodyText3Char">
    <w:name w:val="Body Text 3 Char"/>
    <w:basedOn w:val="Policepardfaut"/>
    <w:uiPriority w:val="99"/>
    <w:semiHidden/>
    <w:rPr>
      <w:rFonts w:ascii="Arial" w:hAnsi="Arial" w:cs="Times New Roman"/>
      <w:sz w:val="16"/>
      <w:szCs w:val="16"/>
      <w:lang w:val="fr-FR" w:eastAsia="fr-FR"/>
    </w:rPr>
  </w:style>
  <w:style w:type="paragraph" w:styleId="Corpsdetexte3">
    <w:name w:val="Body Text 3"/>
    <w:basedOn w:val="Normal"/>
    <w:link w:val="Corpsdetexte3Car"/>
    <w:uiPriority w:val="99"/>
    <w:rPr>
      <w:szCs w:val="20"/>
    </w:rPr>
  </w:style>
  <w:style w:type="character" w:customStyle="1" w:styleId="NotedebasdepageCar">
    <w:name w:val="Note de bas de page Car"/>
    <w:aliases w:val="Geneva 9 Car,Font: Geneva 9 Car,Boston 10 Car,f Car,single space Car,Footnote Car,otnote Text Car,ADB Car,fn Car,Texto nota pie IIRSA Car,Fußnote Car,F Car,Style 25 Car,ft Car,Char Char Char Char Car,ADB Char Char Car"/>
    <w:basedOn w:val="Policepardfaut"/>
    <w:link w:val="Notedebasdepage"/>
    <w:uiPriority w:val="99"/>
    <w:locked/>
    <w:rPr>
      <w:rFonts w:ascii="Arial" w:hAnsi="Arial" w:cs="Times New Roman"/>
      <w:lang w:val="fr-FR" w:eastAsia="fr-FR"/>
    </w:rPr>
  </w:style>
  <w:style w:type="character" w:customStyle="1" w:styleId="Corpsdetexte3Car">
    <w:name w:val="Corps de texte 3 Car"/>
    <w:link w:val="Corpsdetexte3"/>
    <w:uiPriority w:val="99"/>
    <w:locked/>
    <w:rPr>
      <w:rFonts w:ascii="Arial" w:hAnsi="Arial"/>
      <w:sz w:val="16"/>
      <w:lang w:val="fr-FR" w:eastAsia="fr-FR"/>
    </w:rPr>
  </w:style>
  <w:style w:type="character" w:customStyle="1" w:styleId="BodyText3Char2">
    <w:name w:val="Body Text 3 Char2"/>
    <w:basedOn w:val="Policepardfaut"/>
    <w:uiPriority w:val="99"/>
    <w:semiHidden/>
    <w:rPr>
      <w:rFonts w:ascii="Arial" w:hAnsi="Arial" w:cs="Times New Roman"/>
      <w:sz w:val="16"/>
      <w:szCs w:val="16"/>
      <w:lang w:val="fr-FR" w:eastAsia="fr-FR"/>
    </w:rPr>
  </w:style>
  <w:style w:type="character" w:customStyle="1" w:styleId="Textoindependiente3Car1">
    <w:name w:val="Texto independiente 3 Car1"/>
    <w:basedOn w:val="Policepardfaut"/>
    <w:uiPriority w:val="99"/>
    <w:semiHidden/>
    <w:rPr>
      <w:rFonts w:ascii="Arial" w:hAnsi="Arial" w:cs="Times New Roman"/>
      <w:sz w:val="16"/>
      <w:szCs w:val="16"/>
      <w:lang w:val="fr-FR" w:eastAsia="fr-FR"/>
    </w:rPr>
  </w:style>
  <w:style w:type="paragraph" w:styleId="Retraitcorpsdetexte">
    <w:name w:val="Body Text Indent"/>
    <w:basedOn w:val="Normal"/>
    <w:link w:val="RetraitcorpsdetexteCar"/>
    <w:uiPriority w:val="99"/>
    <w:pPr>
      <w:tabs>
        <w:tab w:val="left" w:pos="360"/>
      </w:tabs>
    </w:pPr>
    <w:rPr>
      <w:b/>
      <w:i/>
      <w:sz w:val="28"/>
      <w:szCs w:val="20"/>
    </w:rPr>
  </w:style>
  <w:style w:type="character" w:customStyle="1" w:styleId="RetraitcorpsdetexteCar">
    <w:name w:val="Retrait corps de texte Car"/>
    <w:basedOn w:val="Policepardfaut"/>
    <w:link w:val="Retraitcorpsdetexte"/>
    <w:uiPriority w:val="99"/>
    <w:locked/>
    <w:rPr>
      <w:rFonts w:ascii="Arial" w:hAnsi="Arial" w:cs="Times New Roman"/>
      <w:sz w:val="24"/>
      <w:lang w:val="fr-FR" w:eastAsia="fr-FR"/>
    </w:rPr>
  </w:style>
  <w:style w:type="character" w:styleId="Lienhypertexte">
    <w:name w:val="Hyperlink"/>
    <w:basedOn w:val="Policepardfaut"/>
    <w:uiPriority w:val="99"/>
    <w:rPr>
      <w:rFonts w:cs="Times New Roman"/>
      <w:color w:val="0000FF"/>
      <w:u w:val="single"/>
      <w:lang w:val="fr-FR" w:eastAsia="fr-FR"/>
    </w:rPr>
  </w:style>
  <w:style w:type="character" w:styleId="Lienhypertextesuivivisit">
    <w:name w:val="FollowedHyperlink"/>
    <w:basedOn w:val="Policepardfaut"/>
    <w:uiPriority w:val="99"/>
    <w:rPr>
      <w:rFonts w:cs="Times New Roman"/>
      <w:color w:val="800080"/>
      <w:u w:val="single"/>
      <w:lang w:val="fr-FR" w:eastAsia="fr-FR"/>
    </w:rPr>
  </w:style>
  <w:style w:type="paragraph" w:styleId="Corpsdetexte">
    <w:name w:val="Body Text"/>
    <w:aliases w:val="Anna"/>
    <w:basedOn w:val="Normal"/>
    <w:link w:val="CorpsdetexteCar"/>
    <w:uiPriority w:val="99"/>
    <w:pPr>
      <w:pBdr>
        <w:bottom w:val="single" w:sz="4" w:space="1" w:color="auto"/>
      </w:pBdr>
    </w:pPr>
    <w:rPr>
      <w:rFonts w:ascii="Arial Narrow" w:hAnsi="Arial Narrow"/>
      <w:i/>
      <w:iCs/>
    </w:rPr>
  </w:style>
  <w:style w:type="character" w:customStyle="1" w:styleId="CorpsdetexteCar">
    <w:name w:val="Corps de texte Car"/>
    <w:aliases w:val="Anna Car"/>
    <w:basedOn w:val="Policepardfaut"/>
    <w:link w:val="Corpsdetexte"/>
    <w:uiPriority w:val="99"/>
    <w:locked/>
    <w:rPr>
      <w:rFonts w:ascii="Arial" w:hAnsi="Arial" w:cs="Times New Roman"/>
      <w:sz w:val="24"/>
      <w:lang w:val="fr-FR" w:eastAsia="fr-FR"/>
    </w:rPr>
  </w:style>
  <w:style w:type="paragraph" w:styleId="Corpsdetexte2">
    <w:name w:val="Body Text 2"/>
    <w:basedOn w:val="Normal"/>
    <w:link w:val="Corpsdetexte2Car"/>
    <w:uiPriority w:val="99"/>
    <w:pPr>
      <w:spacing w:before="120" w:after="120"/>
    </w:pPr>
    <w:rPr>
      <w:rFonts w:ascii="Arial Narrow" w:hAnsi="Arial Narrow"/>
    </w:rPr>
  </w:style>
  <w:style w:type="character" w:customStyle="1" w:styleId="Corpsdetexte2Car">
    <w:name w:val="Corps de texte 2 Car"/>
    <w:basedOn w:val="Policepardfaut"/>
    <w:link w:val="Corpsdetexte2"/>
    <w:uiPriority w:val="99"/>
    <w:locked/>
    <w:rPr>
      <w:rFonts w:ascii="Arial" w:hAnsi="Arial" w:cs="Times New Roman"/>
      <w:sz w:val="24"/>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locked/>
    <w:rPr>
      <w:rFonts w:ascii="Arial" w:hAnsi="Arial" w:cs="Times New Roman"/>
      <w:b/>
      <w:lang w:val="fr-FR" w:eastAsia="fr-FR"/>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Normal"/>
    <w:uiPriority w:val="99"/>
    <w:pPr>
      <w:spacing w:before="100" w:beforeAutospacing="1" w:after="100" w:afterAutospacing="1"/>
    </w:pPr>
    <w:rPr>
      <w:rFonts w:ascii="Times New Roman" w:hAnsi="Times New Roman"/>
      <w:sz w:val="24"/>
    </w:rPr>
  </w:style>
  <w:style w:type="character" w:styleId="Accentuation">
    <w:name w:val="Emphasis"/>
    <w:basedOn w:val="Policepardfaut"/>
    <w:uiPriority w:val="20"/>
    <w:qFormat/>
    <w:rPr>
      <w:rFonts w:cs="Times New Roman"/>
      <w:i/>
      <w:lang w:val="fr-FR" w:eastAsia="fr-FR"/>
    </w:rPr>
  </w:style>
  <w:style w:type="character" w:styleId="Appelnotedebasdep">
    <w:name w:val="footnote reference"/>
    <w:aliases w:val="16 Point,Superscript 6 Point,Superscript 6 Point + 11 pt,Footnote Reference Char Char Char,Carattere Char Carattere Carattere Char Carattere Char Carattere Char Char Char1 Char,Carattere Carattere Char Char Char Carattere Char,o"/>
    <w:basedOn w:val="Policepardfaut"/>
    <w:uiPriority w:val="99"/>
    <w:rPr>
      <w:rFonts w:ascii="Arial" w:hAnsi="Arial" w:cs="Times New Roman"/>
      <w:sz w:val="18"/>
      <w:vertAlign w:val="superscript"/>
      <w:lang w:val="fr-FR" w:eastAsia="fr-FR"/>
    </w:rPr>
  </w:style>
  <w:style w:type="paragraph" w:customStyle="1" w:styleId="Char">
    <w:name w:val="Char"/>
    <w:basedOn w:val="Titre2"/>
    <w:uiPriority w:val="99"/>
    <w:pPr>
      <w:pageBreakBefore/>
      <w:tabs>
        <w:tab w:val="left" w:pos="850"/>
        <w:tab w:val="left" w:pos="1191"/>
        <w:tab w:val="left" w:pos="1531"/>
      </w:tabs>
      <w:ind w:left="0"/>
      <w:jc w:val="center"/>
    </w:pPr>
    <w:rPr>
      <w:rFonts w:ascii="Tahoma" w:hAnsi="Tahoma" w:cs="Tahoma"/>
      <w:bCs w:val="0"/>
      <w:color w:val="FFFFFF"/>
      <w:spacing w:val="20"/>
      <w:szCs w:val="22"/>
    </w:rPr>
  </w:style>
  <w:style w:type="paragraph" w:customStyle="1" w:styleId="ColorfulList-Accent11">
    <w:name w:val="Colorful List - Accent 11"/>
    <w:basedOn w:val="Normal"/>
    <w:uiPriority w:val="34"/>
    <w:qFormat/>
    <w:pPr>
      <w:spacing w:after="0"/>
      <w:ind w:left="720"/>
      <w:jc w:val="left"/>
    </w:pPr>
    <w:rPr>
      <w:rFonts w:ascii="Times New Roman" w:hAnsi="Times New Roman"/>
      <w:sz w:val="24"/>
    </w:rPr>
  </w:style>
  <w:style w:type="paragraph" w:styleId="Titre">
    <w:name w:val="Title"/>
    <w:basedOn w:val="Normal"/>
    <w:link w:val="TitreCar"/>
    <w:uiPriority w:val="10"/>
    <w:qFormat/>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basedOn w:val="Policepardfaut"/>
    <w:link w:val="Titre"/>
    <w:uiPriority w:val="10"/>
    <w:locked/>
    <w:rPr>
      <w:rFonts w:ascii="Cambria" w:hAnsi="Cambria" w:cs="Times New Roman"/>
      <w:b/>
      <w:kern w:val="28"/>
      <w:sz w:val="32"/>
      <w:lang w:val="fr-FR" w:eastAsia="fr-FR"/>
    </w:rPr>
  </w:style>
  <w:style w:type="paragraph" w:customStyle="1" w:styleId="CharCharChar1">
    <w:name w:val="Char Char Char1"/>
    <w:basedOn w:val="Normal"/>
    <w:pPr>
      <w:spacing w:after="160" w:line="240" w:lineRule="exact"/>
      <w:jc w:val="left"/>
    </w:pPr>
    <w:rPr>
      <w:rFonts w:cs="Arial"/>
      <w:sz w:val="20"/>
      <w:szCs w:val="20"/>
    </w:rPr>
  </w:style>
  <w:style w:type="paragraph" w:customStyle="1" w:styleId="JFHeading3">
    <w:name w:val="JF Heading 3"/>
    <w:basedOn w:val="Titre3"/>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rPr>
  </w:style>
  <w:style w:type="character" w:styleId="lev">
    <w:name w:val="Strong"/>
    <w:basedOn w:val="Policepardfaut"/>
    <w:uiPriority w:val="22"/>
    <w:qFormat/>
    <w:rPr>
      <w:rFonts w:cs="Times New Roman"/>
      <w:b/>
      <w:lang w:val="fr-FR" w:eastAsia="fr-FR"/>
    </w:rPr>
  </w:style>
  <w:style w:type="paragraph" w:customStyle="1" w:styleId="Default">
    <w:name w:val="Default"/>
    <w:qFormat/>
    <w:pPr>
      <w:autoSpaceDE w:val="0"/>
      <w:autoSpaceDN w:val="0"/>
      <w:adjustRightInd w:val="0"/>
    </w:pPr>
    <w:rPr>
      <w:rFonts w:ascii="Arial" w:eastAsia="MS Mincho" w:hAnsi="Arial" w:cs="Arial"/>
      <w:color w:val="000000"/>
      <w:sz w:val="24"/>
      <w:szCs w:val="24"/>
      <w:lang w:val="fr-FR" w:eastAsia="fr-FR"/>
    </w:rPr>
  </w:style>
  <w:style w:type="paragraph" w:customStyle="1" w:styleId="bodyfont">
    <w:name w:val="bodyfont"/>
    <w:basedOn w:val="Normal"/>
    <w:pPr>
      <w:spacing w:before="100" w:beforeAutospacing="1" w:after="100" w:afterAutospacing="1"/>
      <w:jc w:val="left"/>
    </w:pPr>
    <w:rPr>
      <w:rFonts w:eastAsia="MS Mincho" w:cs="Arial"/>
      <w:sz w:val="12"/>
      <w:szCs w:val="12"/>
    </w:rPr>
  </w:style>
  <w:style w:type="paragraph" w:customStyle="1" w:styleId="JFHeading1">
    <w:name w:val="JF Heading 1"/>
    <w:basedOn w:val="Titre1"/>
    <w:pP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pPr>
      <w:spacing w:line="191" w:lineRule="atLeast"/>
    </w:pPr>
    <w:rPr>
      <w:rFonts w:ascii="Adobe Garamond Pro" w:hAnsi="Adobe Garamond Pro" w:cs="Times New Roman"/>
    </w:rPr>
  </w:style>
  <w:style w:type="character" w:customStyle="1" w:styleId="bodytag3">
    <w:name w:val="bodytag3"/>
    <w:rPr>
      <w:rFonts w:ascii="Trebuchet MS" w:hAnsi="Trebuchet MS"/>
      <w:sz w:val="15"/>
      <w:lang w:val="fr-FR" w:eastAsia="fr-FR"/>
    </w:rPr>
  </w:style>
  <w:style w:type="paragraph" w:styleId="Notedefin">
    <w:name w:val="endnote text"/>
    <w:aliases w:val="Char2"/>
    <w:basedOn w:val="Normal"/>
    <w:link w:val="NotedefinCar"/>
    <w:uiPriority w:val="99"/>
    <w:pPr>
      <w:spacing w:after="0"/>
      <w:jc w:val="left"/>
    </w:pPr>
    <w:rPr>
      <w:rFonts w:eastAsia="MS Mincho"/>
      <w:sz w:val="20"/>
      <w:szCs w:val="20"/>
    </w:rPr>
  </w:style>
  <w:style w:type="character" w:customStyle="1" w:styleId="NotedefinCar">
    <w:name w:val="Note de fin Car"/>
    <w:aliases w:val="Char2 Car"/>
    <w:basedOn w:val="Policepardfaut"/>
    <w:link w:val="Notedefin"/>
    <w:uiPriority w:val="99"/>
    <w:locked/>
    <w:rPr>
      <w:rFonts w:ascii="Times" w:hAnsi="Times" w:cs="Times New Roman"/>
      <w:sz w:val="24"/>
      <w:lang w:val="fr-FR" w:eastAsia="fr-FR"/>
    </w:rPr>
  </w:style>
  <w:style w:type="character" w:styleId="Appeldenotedefin">
    <w:name w:val="endnote reference"/>
    <w:basedOn w:val="Policepardfaut"/>
    <w:uiPriority w:val="99"/>
    <w:rPr>
      <w:rFonts w:cs="Times New Roman"/>
      <w:vertAlign w:val="superscript"/>
      <w:lang w:val="fr-FR" w:eastAsia="fr-FR"/>
    </w:rPr>
  </w:style>
  <w:style w:type="character" w:customStyle="1" w:styleId="mw-headline">
    <w:name w:val="mw-headline"/>
  </w:style>
  <w:style w:type="paragraph" w:customStyle="1" w:styleId="CharCharCharCharCharCharChar">
    <w:name w:val="Char Char Char Char Char Char Char"/>
    <w:basedOn w:val="Titre2"/>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rPr>
  </w:style>
  <w:style w:type="paragraph" w:customStyle="1" w:styleId="CarCar">
    <w:name w:val="Car Car"/>
    <w:basedOn w:val="Titre2"/>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rPr>
  </w:style>
  <w:style w:type="paragraph" w:customStyle="1" w:styleId="Arial">
    <w:name w:val="Arial"/>
    <w:basedOn w:val="Normal"/>
    <w:pPr>
      <w:spacing w:after="0"/>
    </w:pPr>
    <w:rPr>
      <w:rFonts w:ascii="Arial Narrow" w:hAnsi="Arial Narrow" w:cs="Arial"/>
      <w:sz w:val="20"/>
      <w:szCs w:val="20"/>
    </w:rPr>
  </w:style>
  <w:style w:type="paragraph" w:customStyle="1" w:styleId="Paragraph">
    <w:name w:val="Paragraph"/>
    <w:basedOn w:val="Normal"/>
    <w:link w:val="ParagraphChar"/>
    <w:uiPriority w:val="99"/>
    <w:qFormat/>
    <w:pPr>
      <w:numPr>
        <w:numId w:val="1"/>
      </w:numPr>
      <w:spacing w:after="240"/>
      <w:jc w:val="left"/>
    </w:pPr>
    <w:rPr>
      <w:rFonts w:ascii="Times New Roman" w:hAnsi="Times New Roman" w:cs="Angsana New"/>
      <w:noProof/>
      <w:szCs w:val="22"/>
    </w:rPr>
  </w:style>
  <w:style w:type="character" w:customStyle="1" w:styleId="ParagraphChar">
    <w:name w:val="Paragraph Char"/>
    <w:link w:val="Paragraph"/>
    <w:uiPriority w:val="99"/>
    <w:locked/>
    <w:rPr>
      <w:rFonts w:cs="Angsana New"/>
      <w:noProof/>
      <w:sz w:val="22"/>
      <w:szCs w:val="22"/>
      <w:lang w:val="fr-FR" w:eastAsia="fr-FR"/>
    </w:rPr>
  </w:style>
  <w:style w:type="paragraph" w:customStyle="1" w:styleId="Bullets">
    <w:name w:val="Bullets"/>
    <w:basedOn w:val="Paragraph"/>
    <w:link w:val="BulletsChar"/>
    <w:qFormat/>
    <w:pPr>
      <w:numPr>
        <w:numId w:val="2"/>
      </w:numPr>
      <w:tabs>
        <w:tab w:val="num" w:pos="643"/>
        <w:tab w:val="num" w:pos="720"/>
      </w:tabs>
      <w:spacing w:before="60" w:after="0"/>
      <w:ind w:left="720" w:hanging="720"/>
    </w:pPr>
  </w:style>
  <w:style w:type="character" w:customStyle="1" w:styleId="BulletsChar">
    <w:name w:val="Bullets Char"/>
    <w:link w:val="Bullets"/>
    <w:locked/>
    <w:rPr>
      <w:rFonts w:cs="Angsana New"/>
      <w:noProof/>
      <w:sz w:val="22"/>
      <w:szCs w:val="22"/>
      <w:lang w:val="fr-FR" w:eastAsia="fr-FR"/>
    </w:rPr>
  </w:style>
  <w:style w:type="paragraph" w:styleId="TM2">
    <w:name w:val="toc 2"/>
    <w:basedOn w:val="Normal"/>
    <w:next w:val="Normal"/>
    <w:autoRedefine/>
    <w:uiPriority w:val="39"/>
    <w:qFormat/>
    <w:locked/>
    <w:pPr>
      <w:tabs>
        <w:tab w:val="right" w:leader="dot" w:pos="9360"/>
      </w:tabs>
      <w:spacing w:before="120"/>
      <w:ind w:left="215"/>
    </w:pPr>
  </w:style>
  <w:style w:type="paragraph" w:styleId="TM1">
    <w:name w:val="toc 1"/>
    <w:basedOn w:val="Normal"/>
    <w:next w:val="Normal"/>
    <w:autoRedefine/>
    <w:uiPriority w:val="39"/>
    <w:qFormat/>
    <w:locked/>
    <w:pPr>
      <w:tabs>
        <w:tab w:val="left" w:pos="540"/>
        <w:tab w:val="right" w:leader="dot" w:pos="9304"/>
      </w:tabs>
      <w:ind w:left="180"/>
    </w:pPr>
    <w:rPr>
      <w:b/>
      <w:sz w:val="20"/>
      <w:szCs w:val="20"/>
    </w:rPr>
  </w:style>
  <w:style w:type="character" w:customStyle="1" w:styleId="Heading2Char">
    <w:name w:val="Heading 2 Char"/>
    <w:semiHidden/>
    <w:locked/>
    <w:rPr>
      <w:rFonts w:ascii="Cambria" w:hAnsi="Cambria"/>
      <w:b/>
      <w:i/>
      <w:sz w:val="28"/>
      <w:lang w:val="fr-FR" w:eastAsia="fr-FR"/>
    </w:rPr>
  </w:style>
  <w:style w:type="character" w:customStyle="1" w:styleId="FootnoteTextChar">
    <w:name w:val="Footnote Text Char"/>
    <w:aliases w:val="fn Char,Geneva 9 Char1,Font: Geneva 9 Char1,Boston 10 Char1,f Char1,single space Char1,footnote text Char1,Footnote Char1,otnote Text Char1,ADB Char1,ft Char,Char Char Char Char Char,ADB Char Char Char1,ADB Char Char Char Char"/>
    <w:locked/>
    <w:rPr>
      <w:rFonts w:ascii="Arial" w:hAnsi="Arial"/>
      <w:lang w:val="fr-FR" w:eastAsia="fr-FR"/>
    </w:rPr>
  </w:style>
  <w:style w:type="paragraph" w:customStyle="1" w:styleId="Normalbullets">
    <w:name w:val="Normal bullets"/>
    <w:basedOn w:val="Normal"/>
    <w:pPr>
      <w:numPr>
        <w:numId w:val="3"/>
      </w:numPr>
    </w:pPr>
  </w:style>
  <w:style w:type="paragraph" w:customStyle="1" w:styleId="Text">
    <w:name w:val="Text"/>
    <w:basedOn w:val="Normal"/>
    <w:pPr>
      <w:spacing w:before="240" w:after="0" w:line="252" w:lineRule="auto"/>
    </w:pPr>
    <w:rPr>
      <w:rFonts w:ascii="Times New Roman" w:hAnsi="Times New Roman"/>
      <w:szCs w:val="20"/>
    </w:rPr>
  </w:style>
  <w:style w:type="paragraph" w:customStyle="1" w:styleId="CharCharChar11">
    <w:name w:val="Char Char Char11"/>
    <w:basedOn w:val="Normal"/>
    <w:pPr>
      <w:spacing w:after="160" w:line="240" w:lineRule="exact"/>
      <w:jc w:val="left"/>
    </w:pPr>
    <w:rPr>
      <w:rFonts w:cs="Arial"/>
      <w:sz w:val="20"/>
      <w:szCs w:val="20"/>
    </w:rPr>
  </w:style>
  <w:style w:type="paragraph" w:customStyle="1" w:styleId="BodyText23">
    <w:name w:val="Body Text 23"/>
    <w:basedOn w:val="Normal"/>
    <w:pPr>
      <w:widowControl w:val="0"/>
      <w:tabs>
        <w:tab w:val="left" w:pos="547"/>
      </w:tabs>
      <w:spacing w:after="0"/>
      <w:jc w:val="left"/>
    </w:pPr>
    <w:rPr>
      <w:rFonts w:ascii="Times New Roman" w:hAnsi="Times New Roman"/>
      <w:szCs w:val="20"/>
    </w:rPr>
  </w:style>
  <w:style w:type="paragraph" w:styleId="Lgende">
    <w:name w:val="caption"/>
    <w:basedOn w:val="Normal"/>
    <w:next w:val="Normal"/>
    <w:uiPriority w:val="35"/>
    <w:qFormat/>
    <w:pPr>
      <w:spacing w:after="0"/>
      <w:jc w:val="left"/>
    </w:pPr>
    <w:rPr>
      <w:rFonts w:ascii="Times New Roman" w:hAnsi="Times New Roman"/>
      <w:b/>
      <w:bCs/>
      <w:sz w:val="28"/>
    </w:rPr>
  </w:style>
  <w:style w:type="paragraph" w:customStyle="1" w:styleId="TableT">
    <w:name w:val="TableT"/>
    <w:basedOn w:val="Normal"/>
    <w:autoRedefine/>
    <w:pPr>
      <w:jc w:val="left"/>
    </w:pPr>
    <w:rPr>
      <w:rFonts w:ascii="Times New Roman" w:hAnsi="Times New Roman"/>
      <w:noProof/>
      <w:sz w:val="20"/>
      <w:szCs w:val="20"/>
    </w:rPr>
  </w:style>
  <w:style w:type="paragraph" w:customStyle="1" w:styleId="ParaCharChar">
    <w:name w:val="Para Char Char"/>
    <w:basedOn w:val="Normal"/>
    <w:link w:val="ParaCharCharChar"/>
    <w:autoRedefin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after="120"/>
      <w:ind w:left="-360" w:right="-450"/>
    </w:pPr>
    <w:rPr>
      <w:rFonts w:eastAsia="Arial Unicode MS" w:cs="Arial"/>
      <w:sz w:val="20"/>
      <w:szCs w:val="20"/>
    </w:rPr>
  </w:style>
  <w:style w:type="character" w:customStyle="1" w:styleId="ParaCharCharChar">
    <w:name w:val="Para Char Char Char"/>
    <w:link w:val="ParaCharChar"/>
    <w:locked/>
    <w:rPr>
      <w:rFonts w:ascii="Arial" w:eastAsia="Arial Unicode MS" w:hAnsi="Arial"/>
      <w:lang w:val="fr-FR" w:eastAsia="fr-FR"/>
    </w:rPr>
  </w:style>
  <w:style w:type="paragraph" w:customStyle="1" w:styleId="TableHCharCharChar">
    <w:name w:val="TableH Char Char Char"/>
    <w:basedOn w:val="Normal"/>
    <w:link w:val="TableHCharCharCharChar"/>
    <w:autoRedefine/>
    <w:pPr>
      <w:spacing w:before="240"/>
      <w:jc w:val="left"/>
    </w:pPr>
    <w:rPr>
      <w:rFonts w:ascii="Times New Roman" w:hAnsi="Times New Roman"/>
      <w:b/>
      <w:sz w:val="21"/>
      <w:szCs w:val="22"/>
    </w:rPr>
  </w:style>
  <w:style w:type="character" w:customStyle="1" w:styleId="TableHCharCharCharChar">
    <w:name w:val="TableH Char Char Char Char"/>
    <w:link w:val="TableHCharCharChar"/>
    <w:locked/>
    <w:rPr>
      <w:b/>
      <w:sz w:val="22"/>
      <w:lang w:val="fr-FR" w:eastAsia="fr-FR"/>
    </w:rPr>
  </w:style>
  <w:style w:type="character" w:customStyle="1" w:styleId="highlighttext">
    <w:name w:val="highlighttext"/>
    <w:rPr>
      <w:rFonts w:ascii="Times New Roman" w:hAnsi="Times New Roman"/>
      <w:sz w:val="22"/>
      <w:shd w:val="clear" w:color="000000" w:fill="auto"/>
      <w:lang w:val="fr-FR" w:eastAsia="fr-FR"/>
    </w:rPr>
  </w:style>
  <w:style w:type="paragraph" w:customStyle="1" w:styleId="steptext">
    <w:name w:val="steptext"/>
    <w:basedOn w:val="Normal"/>
    <w:pPr>
      <w:spacing w:after="0"/>
      <w:jc w:val="left"/>
    </w:pPr>
    <w:rPr>
      <w:rFonts w:ascii="Times New Roman" w:hAnsi="Times New Roman"/>
    </w:rPr>
  </w:style>
  <w:style w:type="paragraph" w:customStyle="1" w:styleId="NumberedList2">
    <w:name w:val="Numbered List 2"/>
    <w:aliases w:val="nl2"/>
    <w:basedOn w:val="Normal"/>
    <w:pPr>
      <w:spacing w:after="0" w:line="240" w:lineRule="atLeast"/>
      <w:ind w:hanging="360"/>
      <w:jc w:val="left"/>
    </w:pPr>
    <w:rPr>
      <w:rFonts w:ascii="Arial Unicode MS" w:eastAsia="Arial Unicode MS" w:hAnsi="Arial Unicode MS"/>
      <w:szCs w:val="22"/>
    </w:rPr>
  </w:style>
  <w:style w:type="paragraph" w:customStyle="1" w:styleId="CharChar">
    <w:name w:val="Char Char Знак Знак"/>
    <w:basedOn w:val="Normal"/>
    <w:pPr>
      <w:spacing w:after="160" w:line="240" w:lineRule="exact"/>
      <w:jc w:val="left"/>
    </w:pPr>
    <w:rPr>
      <w:rFonts w:ascii="Times New Roman" w:hAnsi="Times New Roman" w:cs="Arial"/>
      <w:sz w:val="20"/>
      <w:szCs w:val="20"/>
    </w:rPr>
  </w:style>
  <w:style w:type="paragraph" w:customStyle="1" w:styleId="Marin">
    <w:name w:val="Marin"/>
    <w:basedOn w:val="Normal"/>
    <w:pPr>
      <w:autoSpaceDN w:val="0"/>
      <w:spacing w:after="120"/>
    </w:pPr>
    <w:rPr>
      <w:rFonts w:cs="Arial"/>
      <w:sz w:val="24"/>
    </w:rPr>
  </w:style>
  <w:style w:type="paragraph" w:customStyle="1" w:styleId="BankNormal">
    <w:name w:val="BankNormal"/>
    <w:basedOn w:val="Normal"/>
    <w:pPr>
      <w:autoSpaceDN w:val="0"/>
      <w:spacing w:after="240"/>
      <w:jc w:val="left"/>
    </w:pPr>
    <w:rPr>
      <w:rFonts w:ascii="Times New Roman" w:hAnsi="Times New Roman"/>
      <w:sz w:val="24"/>
    </w:rPr>
  </w:style>
  <w:style w:type="paragraph" w:customStyle="1" w:styleId="outlinebullet">
    <w:name w:val="outlinebullet"/>
    <w:basedOn w:val="Normal"/>
    <w:pPr>
      <w:numPr>
        <w:numId w:val="4"/>
      </w:numPr>
      <w:tabs>
        <w:tab w:val="left" w:pos="1440"/>
      </w:tabs>
      <w:spacing w:before="120" w:after="0"/>
      <w:jc w:val="left"/>
    </w:pPr>
    <w:rPr>
      <w:rFonts w:ascii="Times New Roman" w:hAnsi="Times New Roman"/>
      <w:sz w:val="24"/>
    </w:rPr>
  </w:style>
  <w:style w:type="paragraph" w:customStyle="1" w:styleId="BodyText21">
    <w:name w:val="Body Text 21"/>
    <w:basedOn w:val="Normal"/>
    <w:pPr>
      <w:widowControl w:val="0"/>
      <w:spacing w:after="120"/>
      <w:ind w:left="397" w:hanging="397"/>
    </w:pPr>
    <w:rPr>
      <w:rFonts w:cs="Arial"/>
      <w:szCs w:val="22"/>
    </w:rPr>
  </w:style>
  <w:style w:type="paragraph" w:customStyle="1" w:styleId="BodyTextIndent1">
    <w:name w:val="Body Text Indent1"/>
    <w:basedOn w:val="Normal"/>
    <w:pPr>
      <w:spacing w:after="0"/>
      <w:ind w:left="720"/>
    </w:pPr>
    <w:rPr>
      <w:rFonts w:ascii="Times New Roman" w:hAnsi="Times New Roman"/>
      <w:sz w:val="24"/>
    </w:rPr>
  </w:style>
  <w:style w:type="paragraph" w:customStyle="1" w:styleId="Listdots">
    <w:name w:val="List (dots)"/>
    <w:basedOn w:val="Normal"/>
    <w:pPr>
      <w:numPr>
        <w:numId w:val="5"/>
      </w:numPr>
      <w:spacing w:after="0"/>
    </w:pPr>
    <w:rPr>
      <w:rFonts w:ascii="Times New Roman" w:hAnsi="Times New Roman"/>
      <w:sz w:val="24"/>
    </w:rPr>
  </w:style>
  <w:style w:type="paragraph" w:customStyle="1" w:styleId="Standard">
    <w:name w:val="Standard"/>
    <w:qFormat/>
    <w:pPr>
      <w:suppressAutoHyphens/>
    </w:pPr>
    <w:rPr>
      <w:sz w:val="24"/>
      <w:szCs w:val="24"/>
      <w:lang w:val="fr-FR" w:eastAsia="fr-FR"/>
    </w:rPr>
  </w:style>
  <w:style w:type="paragraph" w:customStyle="1" w:styleId="para2">
    <w:name w:val="para2"/>
    <w:basedOn w:val="Normal"/>
    <w:pPr>
      <w:widowControl w:val="0"/>
      <w:tabs>
        <w:tab w:val="left" w:pos="450"/>
      </w:tabs>
      <w:spacing w:after="180"/>
    </w:pPr>
    <w:rPr>
      <w:rFonts w:ascii="Book Antiqua" w:hAnsi="Book Antiqua"/>
      <w:kern w:val="18"/>
      <w:szCs w:val="22"/>
    </w:rPr>
  </w:style>
  <w:style w:type="paragraph" w:styleId="En-ttedetabledesmatires">
    <w:name w:val="TOC Heading"/>
    <w:basedOn w:val="Titre1"/>
    <w:next w:val="Normal"/>
    <w:uiPriority w:val="39"/>
    <w:qFormat/>
    <w:pPr>
      <w:keepLines/>
      <w:suppressAutoHyphens w:val="0"/>
      <w:spacing w:before="480" w:after="0" w:line="276" w:lineRule="auto"/>
      <w:jc w:val="left"/>
      <w:outlineLvl w:val="9"/>
    </w:pPr>
    <w:rPr>
      <w:rFonts w:ascii="Cambria" w:hAnsi="Cambria"/>
      <w:bCs/>
      <w:smallCaps w:val="0"/>
      <w:color w:val="365F91"/>
      <w:spacing w:val="0"/>
      <w:szCs w:val="28"/>
    </w:rPr>
  </w:style>
  <w:style w:type="paragraph" w:styleId="TM3">
    <w:name w:val="toc 3"/>
    <w:basedOn w:val="Normal"/>
    <w:next w:val="Normal"/>
    <w:autoRedefine/>
    <w:uiPriority w:val="39"/>
    <w:unhideWhenUsed/>
    <w:qFormat/>
    <w:pPr>
      <w:spacing w:after="100" w:line="276" w:lineRule="auto"/>
      <w:ind w:left="440"/>
      <w:jc w:val="left"/>
    </w:pPr>
    <w:rPr>
      <w:rFonts w:ascii="Calibri" w:hAnsi="Calibri"/>
      <w:szCs w:val="22"/>
    </w:rPr>
  </w:style>
  <w:style w:type="paragraph" w:customStyle="1" w:styleId="ColorfulShading-Accent11">
    <w:name w:val="Colorful Shading - Accent 11"/>
    <w:hidden/>
    <w:uiPriority w:val="99"/>
    <w:semiHidden/>
    <w:rPr>
      <w:rFonts w:ascii="Arial" w:hAnsi="Arial"/>
      <w:sz w:val="22"/>
      <w:szCs w:val="24"/>
      <w:lang w:val="fr-FR" w:eastAsia="fr-FR"/>
    </w:rPr>
  </w:style>
  <w:style w:type="paragraph" w:styleId="Explorateurdedocuments">
    <w:name w:val="Document Map"/>
    <w:basedOn w:val="Normal"/>
    <w:link w:val="ExplorateurdedocumentsCar"/>
    <w:uiPriority w:val="99"/>
    <w:rPr>
      <w:rFonts w:ascii="Tahoma" w:hAnsi="Tahoma" w:cs="Tahoma"/>
      <w:sz w:val="16"/>
      <w:szCs w:val="16"/>
    </w:rPr>
  </w:style>
  <w:style w:type="character" w:customStyle="1" w:styleId="ExplorateurdedocumentsCar">
    <w:name w:val="Explorateur de documents Car"/>
    <w:basedOn w:val="Policepardfaut"/>
    <w:link w:val="Explorateurdedocuments"/>
    <w:uiPriority w:val="99"/>
    <w:locked/>
    <w:rPr>
      <w:rFonts w:ascii="Tahoma" w:hAnsi="Tahoma" w:cs="Times New Roman"/>
      <w:sz w:val="16"/>
      <w:lang w:val="fr-FR" w:eastAsia="fr-FR"/>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locked/>
    <w:rPr>
      <w:rFonts w:ascii="Arial" w:hAnsi="Arial" w:cs="Times New Roman"/>
      <w:sz w:val="24"/>
      <w:lang w:val="fr-FR" w:eastAsia="fr-FR"/>
    </w:rPr>
  </w:style>
  <w:style w:type="character" w:customStyle="1" w:styleId="pseditboxdisponly">
    <w:name w:val="pseditbox_disponly"/>
    <w:rPr>
      <w:lang w:val="fr-FR" w:eastAsia="fr-FR"/>
    </w:rPr>
  </w:style>
  <w:style w:type="paragraph" w:customStyle="1" w:styleId="listparagraphprodoc">
    <w:name w:val="list paragraph prodoc"/>
    <w:basedOn w:val="ColorfulList-Accent11"/>
    <w:uiPriority w:val="99"/>
    <w:pPr>
      <w:numPr>
        <w:numId w:val="6"/>
      </w:numPr>
      <w:jc w:val="both"/>
    </w:pPr>
  </w:style>
  <w:style w:type="paragraph" w:customStyle="1" w:styleId="CommentSubject1">
    <w:name w:val="Comment Subject1"/>
    <w:basedOn w:val="Commentaire"/>
    <w:next w:val="Commentaire"/>
    <w:semiHidden/>
    <w:pPr>
      <w:spacing w:after="0"/>
      <w:jc w:val="left"/>
    </w:pPr>
    <w:rPr>
      <w:rFonts w:ascii="Times New Roman" w:hAnsi="Times New Roman"/>
      <w:b/>
      <w:bCs/>
      <w:sz w:val="20"/>
    </w:rPr>
  </w:style>
  <w:style w:type="paragraph" w:styleId="Sous-titre">
    <w:name w:val="Subtitle"/>
    <w:basedOn w:val="Normal"/>
    <w:next w:val="Normal"/>
    <w:link w:val="Sous-titreCar"/>
    <w:uiPriority w:val="11"/>
    <w:qFormat/>
    <w:pPr>
      <w:jc w:val="center"/>
      <w:outlineLvl w:val="1"/>
    </w:pPr>
    <w:rPr>
      <w:rFonts w:ascii="Cambria" w:hAnsi="Cambria"/>
      <w:sz w:val="24"/>
    </w:rPr>
  </w:style>
  <w:style w:type="character" w:customStyle="1" w:styleId="Sous-titreCar">
    <w:name w:val="Sous-titre Car"/>
    <w:basedOn w:val="Policepardfaut"/>
    <w:link w:val="Sous-titre"/>
    <w:uiPriority w:val="11"/>
    <w:locked/>
    <w:rPr>
      <w:rFonts w:ascii="Cambria" w:hAnsi="Cambria" w:cs="Times New Roman"/>
      <w:sz w:val="24"/>
      <w:lang w:val="fr-FR" w:eastAsia="fr-FR"/>
    </w:rPr>
  </w:style>
  <w:style w:type="paragraph" w:customStyle="1" w:styleId="Textkrperzusammenhalten">
    <w:name w:val="Textkörper zusammenhalten"/>
    <w:basedOn w:val="Corpsdetexte"/>
    <w:pPr>
      <w:keepNext/>
      <w:pBdr>
        <w:bottom w:val="none" w:sz="0" w:space="0" w:color="auto"/>
      </w:pBdr>
      <w:spacing w:after="240" w:line="240" w:lineRule="atLeast"/>
    </w:pPr>
    <w:rPr>
      <w:rFonts w:ascii="Times New Roman" w:hAnsi="Times New Roman"/>
      <w:i w:val="0"/>
      <w:iCs w:val="0"/>
      <w:spacing w:val="-5"/>
      <w:sz w:val="24"/>
      <w:szCs w:val="20"/>
    </w:rPr>
  </w:style>
  <w:style w:type="paragraph" w:customStyle="1" w:styleId="ListeParagraf">
    <w:name w:val="Liste Paragraf"/>
    <w:basedOn w:val="Normal"/>
    <w:uiPriority w:val="34"/>
    <w:qFormat/>
    <w:pPr>
      <w:spacing w:after="0"/>
      <w:ind w:left="720"/>
      <w:jc w:val="left"/>
    </w:pPr>
    <w:rPr>
      <w:rFonts w:ascii="Times New Roman" w:hAnsi="Times New Roman"/>
      <w:noProof/>
      <w:sz w:val="24"/>
    </w:rPr>
  </w:style>
  <w:style w:type="character" w:customStyle="1" w:styleId="apple-converted-space">
    <w:name w:val="apple-converted-space"/>
    <w:rPr>
      <w:lang w:val="fr-FR" w:eastAsia="fr-FR"/>
    </w:rPr>
  </w:style>
  <w:style w:type="paragraph" w:styleId="Textebrut">
    <w:name w:val="Plain Text"/>
    <w:basedOn w:val="Normal"/>
    <w:link w:val="TextebrutCar"/>
    <w:uiPriority w:val="99"/>
    <w:unhideWhenUsed/>
    <w:pPr>
      <w:spacing w:after="0"/>
      <w:jc w:val="left"/>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lang w:val="fr-FR" w:eastAsia="fr-FR"/>
    </w:rPr>
  </w:style>
  <w:style w:type="paragraph" w:styleId="Paragraphedeliste">
    <w:name w:val="List Paragraph"/>
    <w:aliases w:val="List Paragraph1,Left Bullet L1"/>
    <w:basedOn w:val="Normal"/>
    <w:link w:val="ParagraphedelisteCar"/>
    <w:uiPriority w:val="34"/>
    <w:qFormat/>
    <w:pPr>
      <w:ind w:left="720"/>
    </w:pPr>
  </w:style>
  <w:style w:type="character" w:customStyle="1" w:styleId="hps">
    <w:name w:val="hps"/>
    <w:rPr>
      <w:lang w:val="fr-FR" w:eastAsia="fr-FR"/>
    </w:rPr>
  </w:style>
  <w:style w:type="character" w:customStyle="1" w:styleId="shorttext">
    <w:name w:val="short_text"/>
    <w:rPr>
      <w:lang w:val="fr-FR" w:eastAsia="fr-FR"/>
    </w:rPr>
  </w:style>
  <w:style w:type="character" w:customStyle="1" w:styleId="atn">
    <w:name w:val="atn"/>
    <w:rPr>
      <w:lang w:val="fr-FR" w:eastAsia="fr-FR"/>
    </w:rPr>
  </w:style>
  <w:style w:type="paragraph" w:customStyle="1" w:styleId="rvps12">
    <w:name w:val="rvps12"/>
    <w:basedOn w:val="Normal"/>
    <w:pPr>
      <w:spacing w:before="100" w:beforeAutospacing="1" w:after="100" w:afterAutospacing="1"/>
      <w:jc w:val="left"/>
    </w:pPr>
    <w:rPr>
      <w:rFonts w:ascii="Times New Roman" w:hAnsi="Times New Roman"/>
      <w:color w:val="000000"/>
      <w:sz w:val="24"/>
    </w:rPr>
  </w:style>
  <w:style w:type="paragraph" w:customStyle="1" w:styleId="A">
    <w:name w:val="A"/>
    <w:basedOn w:val="Normal"/>
    <w:pPr>
      <w:numPr>
        <w:numId w:val="7"/>
      </w:numPr>
      <w:spacing w:after="100"/>
    </w:pPr>
    <w:rPr>
      <w:rFonts w:ascii="Times New Roman" w:hAnsi="Times New Roman"/>
      <w:szCs w:val="22"/>
    </w:rPr>
  </w:style>
  <w:style w:type="paragraph" w:customStyle="1" w:styleId="aaa">
    <w:name w:val="aaa"/>
    <w:basedOn w:val="A"/>
    <w:qFormat/>
    <w:pPr>
      <w:jc w:val="left"/>
    </w:pPr>
  </w:style>
  <w:style w:type="table" w:customStyle="1" w:styleId="TableGrid1">
    <w:name w:val="Table Grid1"/>
    <w:basedOn w:val="TableauNormal"/>
    <w:next w:val="Grilledutableau"/>
    <w:uiPriority w:val="5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2"/>
    <w:locked/>
    <w:rPr>
      <w:rFonts w:ascii="Trebuchet MS" w:hAnsi="Trebuchet MS"/>
      <w:sz w:val="22"/>
      <w:shd w:val="clear" w:color="000000" w:fill="auto"/>
      <w:lang w:val="fr-FR" w:eastAsia="fr-FR"/>
    </w:rPr>
  </w:style>
  <w:style w:type="character" w:customStyle="1" w:styleId="Heading1">
    <w:name w:val="Heading #1_"/>
    <w:link w:val="Heading10"/>
    <w:locked/>
    <w:rPr>
      <w:rFonts w:ascii="Trebuchet MS" w:hAnsi="Trebuchet MS"/>
      <w:spacing w:val="-10"/>
      <w:sz w:val="23"/>
      <w:shd w:val="clear" w:color="000000" w:fill="auto"/>
      <w:lang w:val="fr-FR" w:eastAsia="fr-FR"/>
    </w:rPr>
  </w:style>
  <w:style w:type="character" w:customStyle="1" w:styleId="Heading12">
    <w:name w:val="Heading #1 (2)_"/>
    <w:link w:val="Heading120"/>
    <w:locked/>
    <w:rPr>
      <w:rFonts w:ascii="Trebuchet MS" w:hAnsi="Trebuchet MS"/>
      <w:spacing w:val="-10"/>
      <w:sz w:val="23"/>
      <w:shd w:val="clear" w:color="000000" w:fill="auto"/>
      <w:lang w:val="fr-FR" w:eastAsia="fr-FR"/>
    </w:rPr>
  </w:style>
  <w:style w:type="character" w:customStyle="1" w:styleId="Heading12NotItalic">
    <w:name w:val="Heading #1 (2) + Not Italic"/>
    <w:rPr>
      <w:rFonts w:ascii="Trebuchet MS" w:hAnsi="Trebuchet MS"/>
      <w:i/>
      <w:spacing w:val="-10"/>
      <w:sz w:val="23"/>
      <w:shd w:val="clear" w:color="000000" w:fill="auto"/>
      <w:lang w:val="fr-FR" w:eastAsia="fr-FR"/>
    </w:rPr>
  </w:style>
  <w:style w:type="character" w:customStyle="1" w:styleId="BodyText1">
    <w:name w:val="Body Text1"/>
    <w:rPr>
      <w:rFonts w:ascii="Trebuchet MS" w:hAnsi="Trebuchet MS"/>
      <w:sz w:val="22"/>
      <w:u w:val="single"/>
      <w:shd w:val="clear" w:color="000000" w:fill="auto"/>
      <w:lang w:val="fr-FR" w:eastAsia="fr-FR"/>
    </w:rPr>
  </w:style>
  <w:style w:type="paragraph" w:customStyle="1" w:styleId="BodyText2">
    <w:name w:val="Body Text2"/>
    <w:basedOn w:val="Normal"/>
    <w:link w:val="Bodytext"/>
    <w:pPr>
      <w:shd w:val="clear" w:color="auto" w:fill="FFFFFF"/>
      <w:spacing w:before="2460" w:after="600" w:line="240" w:lineRule="atLeast"/>
      <w:ind w:hanging="340"/>
      <w:jc w:val="left"/>
    </w:pPr>
    <w:rPr>
      <w:rFonts w:ascii="Trebuchet MS" w:hAnsi="Trebuchet MS" w:cs="Trebuchet MS"/>
      <w:szCs w:val="22"/>
    </w:rPr>
  </w:style>
  <w:style w:type="paragraph" w:customStyle="1" w:styleId="Heading10">
    <w:name w:val="Heading #1"/>
    <w:basedOn w:val="Normal"/>
    <w:link w:val="Heading1"/>
    <w:pPr>
      <w:shd w:val="clear" w:color="auto" w:fill="FFFFFF"/>
      <w:spacing w:after="2460" w:line="240" w:lineRule="atLeast"/>
      <w:outlineLvl w:val="0"/>
    </w:pPr>
    <w:rPr>
      <w:rFonts w:ascii="Trebuchet MS" w:hAnsi="Trebuchet MS" w:cs="Trebuchet MS"/>
      <w:spacing w:val="-10"/>
      <w:sz w:val="23"/>
      <w:szCs w:val="23"/>
    </w:rPr>
  </w:style>
  <w:style w:type="paragraph" w:customStyle="1" w:styleId="Heading120">
    <w:name w:val="Heading #1 (2)"/>
    <w:basedOn w:val="Normal"/>
    <w:link w:val="Heading12"/>
    <w:pPr>
      <w:shd w:val="clear" w:color="auto" w:fill="FFFFFF"/>
      <w:spacing w:before="480" w:after="600" w:line="240" w:lineRule="atLeast"/>
      <w:jc w:val="center"/>
      <w:outlineLvl w:val="0"/>
    </w:pPr>
    <w:rPr>
      <w:rFonts w:ascii="Trebuchet MS" w:hAnsi="Trebuchet MS" w:cs="Trebuchet MS"/>
      <w:spacing w:val="-10"/>
      <w:sz w:val="23"/>
      <w:szCs w:val="23"/>
    </w:rPr>
  </w:style>
  <w:style w:type="character" w:customStyle="1" w:styleId="ParagraphedelisteCar">
    <w:name w:val="Paragraphe de liste Car"/>
    <w:aliases w:val="List Paragraph1 Car,Left Bullet L1 Car"/>
    <w:link w:val="Paragraphedeliste"/>
    <w:uiPriority w:val="34"/>
    <w:locked/>
    <w:rPr>
      <w:rFonts w:ascii="Arial" w:hAnsi="Arial"/>
      <w:sz w:val="24"/>
      <w:lang w:val="fr-FR" w:eastAsia="fr-FR"/>
    </w:rPr>
  </w:style>
  <w:style w:type="table" w:customStyle="1" w:styleId="TableGrid2">
    <w:name w:val="Table Grid2"/>
    <w:basedOn w:val="TableauNormal"/>
    <w:next w:val="Grilledutableau"/>
    <w:uiPriority w:val="39"/>
    <w:rPr>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s">
    <w:name w:val="Numbered Paras"/>
    <w:basedOn w:val="Normal"/>
    <w:qFormat/>
    <w:pPr>
      <w:numPr>
        <w:numId w:val="8"/>
      </w:numPr>
      <w:spacing w:after="0"/>
      <w:ind w:left="0" w:firstLine="0"/>
    </w:pPr>
    <w:rPr>
      <w:rFonts w:ascii="Times New Roman" w:hAnsi="Times New Roman"/>
      <w:sz w:val="24"/>
      <w:szCs w:val="22"/>
    </w:rPr>
  </w:style>
  <w:style w:type="character" w:customStyle="1" w:styleId="apple-style-span">
    <w:name w:val="apple-style-span"/>
    <w:rPr>
      <w:lang w:val="fr-FR" w:eastAsia="fr-FR"/>
    </w:rPr>
  </w:style>
  <w:style w:type="character" w:customStyle="1" w:styleId="BalloonTextChar">
    <w:name w:val="Balloon Text Char"/>
    <w:uiPriority w:val="99"/>
    <w:semiHidden/>
    <w:rPr>
      <w:rFonts w:ascii="Lucida Grande" w:hAnsi="Lucida Grande"/>
      <w:sz w:val="18"/>
      <w:lang w:val="fr-FR" w:eastAsia="fr-FR"/>
    </w:rPr>
  </w:style>
  <w:style w:type="character" w:customStyle="1" w:styleId="BalloonTextChar3">
    <w:name w:val="Balloon Text Char3"/>
    <w:uiPriority w:val="99"/>
    <w:semiHidden/>
    <w:rPr>
      <w:rFonts w:ascii="Lucida Grande" w:hAnsi="Lucida Grande"/>
      <w:sz w:val="18"/>
      <w:lang w:val="fr-FR" w:eastAsia="fr-FR"/>
    </w:rPr>
  </w:style>
  <w:style w:type="character" w:customStyle="1" w:styleId="BalloonTextChar2">
    <w:name w:val="Balloon Text Char2"/>
    <w:semiHidden/>
    <w:rPr>
      <w:rFonts w:ascii="Lucida Grande" w:hAnsi="Lucida Grande"/>
      <w:sz w:val="18"/>
      <w:lang w:val="fr-FR" w:eastAsia="fr-FR"/>
    </w:rPr>
  </w:style>
  <w:style w:type="paragraph" w:styleId="Retraitcorpsdetexte3">
    <w:name w:val="Body Text Indent 3"/>
    <w:basedOn w:val="Normal"/>
    <w:link w:val="Retraitcorpsdetexte3Car"/>
    <w:uiPriority w:val="99"/>
    <w:pPr>
      <w:spacing w:after="0"/>
      <w:ind w:left="720"/>
    </w:pPr>
    <w:rPr>
      <w:rFonts w:ascii="Times New Roman" w:hAnsi="Times New Roman"/>
      <w:sz w:val="24"/>
    </w:rPr>
  </w:style>
  <w:style w:type="character" w:customStyle="1" w:styleId="Retraitcorpsdetexte3Car">
    <w:name w:val="Retrait corps de texte 3 Car"/>
    <w:basedOn w:val="Policepardfaut"/>
    <w:link w:val="Retraitcorpsdetexte3"/>
    <w:uiPriority w:val="99"/>
    <w:locked/>
    <w:rPr>
      <w:rFonts w:cs="Times New Roman"/>
      <w:sz w:val="24"/>
      <w:lang w:val="fr-FR" w:eastAsia="fr-FR"/>
    </w:rPr>
  </w:style>
  <w:style w:type="paragraph" w:customStyle="1" w:styleId="newpara">
    <w:name w:val="newpara"/>
    <w:basedOn w:val="Normal"/>
    <w:uiPriority w:val="99"/>
    <w:pPr>
      <w:spacing w:before="100" w:beforeAutospacing="1" w:after="100" w:afterAutospacing="1"/>
    </w:pPr>
    <w:rPr>
      <w:rFonts w:ascii="Times New Roman" w:eastAsia="Arial Unicode MS" w:hAnsi="Times New Roman"/>
      <w:sz w:val="24"/>
    </w:rPr>
  </w:style>
  <w:style w:type="paragraph" w:customStyle="1" w:styleId="para1">
    <w:name w:val="para1"/>
    <w:basedOn w:val="Normal"/>
    <w:uiPriority w:val="99"/>
    <w:pPr>
      <w:widowControl w:val="0"/>
      <w:autoSpaceDE w:val="0"/>
      <w:autoSpaceDN w:val="0"/>
      <w:spacing w:after="180"/>
    </w:pPr>
    <w:rPr>
      <w:rFonts w:ascii="Times New Roman" w:hAnsi="Times New Roman"/>
      <w:sz w:val="24"/>
    </w:rPr>
  </w:style>
  <w:style w:type="character" w:customStyle="1" w:styleId="body1">
    <w:name w:val="body1"/>
    <w:uiPriority w:val="99"/>
    <w:rPr>
      <w:rFonts w:ascii="Arial" w:hAnsi="Arial"/>
      <w:sz w:val="16"/>
      <w:lang w:val="fr-FR" w:eastAsia="fr-FR"/>
    </w:rPr>
  </w:style>
  <w:style w:type="character" w:customStyle="1" w:styleId="CommentaireCar1">
    <w:name w:val="Commentaire Car1"/>
    <w:rPr>
      <w:lang w:val="fr-FR" w:eastAsia="fr-FR"/>
    </w:rPr>
  </w:style>
  <w:style w:type="character" w:customStyle="1" w:styleId="FootnoteCharacters">
    <w:name w:val="Footnote Characters"/>
    <w:rPr>
      <w:vertAlign w:val="superscript"/>
      <w:lang w:val="fr-FR" w:eastAsia="fr-FR"/>
    </w:rPr>
  </w:style>
  <w:style w:type="paragraph" w:customStyle="1" w:styleId="Textbody">
    <w:name w:val="Text body"/>
    <w:basedOn w:val="Default"/>
    <w:pPr>
      <w:widowControl w:val="0"/>
      <w:suppressAutoHyphens/>
      <w:autoSpaceDE/>
      <w:autoSpaceDN/>
      <w:adjustRightInd/>
      <w:spacing w:after="120"/>
    </w:pPr>
    <w:rPr>
      <w:rFonts w:ascii="Times New Roman" w:eastAsia="Arial Unicode MS" w:hAnsi="Times New Roman" w:cs="Times New Roman"/>
      <w:kern w:val="1"/>
    </w:rPr>
  </w:style>
  <w:style w:type="paragraph" w:customStyle="1" w:styleId="Pt">
    <w:name w:val="Pt"/>
    <w:basedOn w:val="Normal"/>
    <w:pPr>
      <w:widowControl w:val="0"/>
      <w:tabs>
        <w:tab w:val="left" w:pos="2956"/>
      </w:tabs>
      <w:suppressAutoHyphens/>
      <w:spacing w:after="0"/>
      <w:ind w:left="426" w:hanging="360"/>
    </w:pPr>
    <w:rPr>
      <w:rFonts w:ascii="Times New Roman" w:eastAsia="Arial Unicode MS" w:hAnsi="Times New Roman"/>
      <w:kern w:val="1"/>
      <w:sz w:val="24"/>
    </w:rPr>
  </w:style>
  <w:style w:type="paragraph" w:customStyle="1" w:styleId="Lgende1">
    <w:name w:val="Légende1"/>
    <w:basedOn w:val="Default"/>
    <w:next w:val="Default"/>
    <w:pPr>
      <w:widowControl w:val="0"/>
      <w:suppressAutoHyphens/>
      <w:autoSpaceDE/>
      <w:autoSpaceDN/>
      <w:adjustRightInd/>
      <w:spacing w:before="120" w:after="120"/>
    </w:pPr>
    <w:rPr>
      <w:rFonts w:ascii="Times New Roman Bold" w:eastAsia="Arial Unicode MS" w:hAnsi="Times New Roman Bold" w:cs="Times New Roman"/>
      <w:bCs/>
      <w:kern w:val="1"/>
      <w:sz w:val="20"/>
      <w:szCs w:val="20"/>
    </w:rPr>
  </w:style>
  <w:style w:type="paragraph" w:customStyle="1" w:styleId="TableContents">
    <w:name w:val="Table Contents"/>
    <w:basedOn w:val="Default"/>
    <w:pPr>
      <w:widowControl w:val="0"/>
      <w:suppressLineNumbers/>
      <w:suppressAutoHyphens/>
      <w:autoSpaceDE/>
      <w:autoSpaceDN/>
      <w:adjustRightInd/>
    </w:pPr>
    <w:rPr>
      <w:rFonts w:ascii="Times New Roman" w:eastAsia="Arial Unicode MS" w:hAnsi="Times New Roman" w:cs="Times New Roman"/>
      <w:kern w:val="1"/>
    </w:rPr>
  </w:style>
  <w:style w:type="character" w:customStyle="1" w:styleId="Listecouleur-Accent1Car">
    <w:name w:val="Liste couleur - Accent 1 Car"/>
    <w:link w:val="Listecouleur-Accent1"/>
    <w:uiPriority w:val="34"/>
    <w:locked/>
    <w:rPr>
      <w:rFonts w:ascii="Times New Roman" w:hAnsi="Times New Roman"/>
      <w:sz w:val="24"/>
      <w:lang w:val="fr-FR" w:eastAsia="fr-FR"/>
    </w:rPr>
  </w:style>
  <w:style w:type="table" w:styleId="Listecouleur-Accent1">
    <w:name w:val="Colorful List Accent 1"/>
    <w:basedOn w:val="TableauNormal"/>
    <w:link w:val="Listecouleur-Accent1Car"/>
    <w:uiPriority w:val="34"/>
    <w:rPr>
      <w:sz w:val="24"/>
      <w:szCs w:val="24"/>
      <w:lang w:val="es-ES" w:eastAsia="es-ES"/>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Caractresdenotedebasdepage">
    <w:name w:val="Caractères de note de bas de page"/>
    <w:rPr>
      <w:vertAlign w:val="superscript"/>
      <w:lang w:val="fr-FR" w:eastAsia="fr-FR"/>
    </w:rPr>
  </w:style>
  <w:style w:type="paragraph" w:styleId="Rvision">
    <w:name w:val="Revision"/>
    <w:hidden/>
    <w:uiPriority w:val="99"/>
    <w:rPr>
      <w:sz w:val="24"/>
      <w:szCs w:val="24"/>
      <w:lang w:val="fr-FR" w:eastAsia="fr-FR"/>
    </w:rPr>
  </w:style>
  <w:style w:type="paragraph" w:styleId="TM4">
    <w:name w:val="toc 4"/>
    <w:basedOn w:val="Normal"/>
    <w:next w:val="Normal"/>
    <w:autoRedefine/>
    <w:uiPriority w:val="39"/>
    <w:unhideWhenUsed/>
    <w:pPr>
      <w:tabs>
        <w:tab w:val="right" w:leader="dot" w:pos="8630"/>
      </w:tabs>
      <w:spacing w:after="0"/>
      <w:ind w:left="720"/>
    </w:pPr>
    <w:rPr>
      <w:rFonts w:ascii="Times New Roman" w:hAnsi="Times New Roman"/>
      <w:szCs w:val="20"/>
    </w:rPr>
  </w:style>
  <w:style w:type="character" w:customStyle="1" w:styleId="BookTitle1">
    <w:name w:val="Book Title1"/>
    <w:qFormat/>
    <w:rPr>
      <w:b/>
      <w:smallCaps/>
      <w:spacing w:val="5"/>
      <w:lang w:val="fr-FR" w:eastAsia="fr-FR"/>
    </w:rPr>
  </w:style>
  <w:style w:type="character" w:customStyle="1" w:styleId="CommentTextChar1">
    <w:name w:val="Comment Text Char1"/>
    <w:rPr>
      <w:rFonts w:ascii="Times New Roman" w:hAnsi="Times New Roman"/>
      <w:lang w:val="fr-FR" w:eastAsia="fr-FR"/>
    </w:rPr>
  </w:style>
  <w:style w:type="character" w:customStyle="1" w:styleId="ObjetducommentaireCar1">
    <w:name w:val="Objet du commentaire Car1"/>
    <w:rPr>
      <w:rFonts w:ascii="Arial" w:hAnsi="Arial"/>
      <w:b/>
      <w:lang w:val="fr-FR" w:eastAsia="fr-FR"/>
    </w:rPr>
  </w:style>
  <w:style w:type="character" w:customStyle="1" w:styleId="CommentSubjectChar1">
    <w:name w:val="Comment Subject Char1"/>
    <w:rPr>
      <w:rFonts w:ascii="Times New Roman" w:hAnsi="Times New Roman"/>
      <w:b/>
      <w:sz w:val="20"/>
      <w:lang w:val="fr-FR" w:eastAsia="fr-FR"/>
    </w:rPr>
  </w:style>
  <w:style w:type="character" w:customStyle="1" w:styleId="ExplorateurdedocumentsCar1">
    <w:name w:val="Explorateur de documents Car1"/>
    <w:rPr>
      <w:rFonts w:ascii="Tahoma" w:hAnsi="Tahoma"/>
      <w:sz w:val="16"/>
      <w:lang w:val="fr-FR" w:eastAsia="fr-FR"/>
    </w:rPr>
  </w:style>
  <w:style w:type="character" w:customStyle="1" w:styleId="DocumentMapChar1">
    <w:name w:val="Document Map Char1"/>
    <w:rPr>
      <w:rFonts w:ascii="Lucida Grande" w:hAnsi="Lucida Grande"/>
      <w:lang w:val="fr-FR" w:eastAsia="fr-FR"/>
    </w:rPr>
  </w:style>
  <w:style w:type="paragraph" w:customStyle="1" w:styleId="CharChar1Char">
    <w:name w:val="Char Char1 Char"/>
    <w:basedOn w:val="Normal"/>
    <w:uiPriority w:val="99"/>
    <w:pPr>
      <w:spacing w:after="160" w:line="240" w:lineRule="exact"/>
    </w:pPr>
    <w:rPr>
      <w:rFonts w:ascii="Verdana" w:hAnsi="Verdana"/>
      <w:sz w:val="20"/>
      <w:szCs w:val="20"/>
    </w:rPr>
  </w:style>
  <w:style w:type="paragraph" w:customStyle="1" w:styleId="ListBullet1">
    <w:name w:val="List Bullet1"/>
    <w:basedOn w:val="Default"/>
    <w:next w:val="Default"/>
    <w:uiPriority w:val="99"/>
    <w:pPr>
      <w:spacing w:after="120"/>
    </w:pPr>
    <w:rPr>
      <w:rFonts w:ascii="Book Antiqua" w:eastAsia="Times New Roman" w:hAnsi="Book Antiqua" w:cs="Times New Roman"/>
    </w:rPr>
  </w:style>
  <w:style w:type="paragraph" w:customStyle="1" w:styleId="CharChar1Char2">
    <w:name w:val="Char Char1 Char2"/>
    <w:basedOn w:val="Normal"/>
    <w:uiPriority w:val="99"/>
    <w:pPr>
      <w:spacing w:after="160" w:line="240" w:lineRule="exact"/>
    </w:pPr>
    <w:rPr>
      <w:rFonts w:ascii="Verdana" w:hAnsi="Verdana"/>
      <w:sz w:val="20"/>
      <w:szCs w:val="20"/>
    </w:rPr>
  </w:style>
  <w:style w:type="paragraph" w:customStyle="1" w:styleId="style5">
    <w:name w:val="style5"/>
    <w:basedOn w:val="Normal"/>
    <w:uiPriority w:val="99"/>
    <w:pPr>
      <w:spacing w:before="100" w:beforeAutospacing="1" w:after="100" w:afterAutospacing="1"/>
    </w:pPr>
    <w:rPr>
      <w:rFonts w:ascii="Times New Roman" w:hAnsi="Times New Roman"/>
      <w:sz w:val="18"/>
      <w:szCs w:val="18"/>
    </w:rPr>
  </w:style>
  <w:style w:type="paragraph" w:customStyle="1" w:styleId="CharChar1Char1">
    <w:name w:val="Char Char1 Char1"/>
    <w:basedOn w:val="Normal"/>
    <w:uiPriority w:val="99"/>
    <w:pPr>
      <w:spacing w:after="160" w:line="240" w:lineRule="exact"/>
    </w:pPr>
    <w:rPr>
      <w:rFonts w:ascii="Verdana" w:hAnsi="Verdana"/>
      <w:sz w:val="20"/>
      <w:szCs w:val="20"/>
    </w:rPr>
  </w:style>
  <w:style w:type="paragraph" w:customStyle="1" w:styleId="MainParanoChapter">
    <w:name w:val="Main Para no Chapter #"/>
    <w:basedOn w:val="Normal"/>
    <w:link w:val="MainParanoChapterChar"/>
    <w:pPr>
      <w:tabs>
        <w:tab w:val="num" w:pos="720"/>
      </w:tabs>
      <w:spacing w:after="240"/>
      <w:ind w:left="720" w:hanging="720"/>
      <w:outlineLvl w:val="1"/>
    </w:pPr>
    <w:rPr>
      <w:rFonts w:ascii="Times New Roman" w:hAnsi="Times New Roman" w:cs="Angsana New"/>
      <w:sz w:val="24"/>
    </w:rPr>
  </w:style>
  <w:style w:type="character" w:customStyle="1" w:styleId="yshortcuts">
    <w:name w:val="yshortcuts"/>
    <w:uiPriority w:val="99"/>
    <w:rPr>
      <w:lang w:val="fr-FR" w:eastAsia="fr-FR"/>
    </w:rPr>
  </w:style>
  <w:style w:type="paragraph" w:customStyle="1" w:styleId="FRR-regulation">
    <w:name w:val="FRR-regulation"/>
    <w:basedOn w:val="Titre1"/>
    <w:uiPriority w:val="99"/>
    <w:pPr>
      <w:keepNext w:val="0"/>
      <w:pBdr>
        <w:top w:val="single" w:sz="4" w:space="10" w:color="auto"/>
        <w:left w:val="single" w:sz="4" w:space="4" w:color="auto"/>
        <w:bottom w:val="single" w:sz="4" w:space="10" w:color="auto"/>
        <w:right w:val="single" w:sz="4" w:space="4" w:color="auto"/>
      </w:pBdr>
      <w:shd w:val="clear" w:color="auto" w:fill="DDD9C3"/>
      <w:suppressAutoHyphens w:val="0"/>
      <w:spacing w:before="200" w:after="200"/>
    </w:pPr>
    <w:rPr>
      <w:rFonts w:ascii="Arial" w:hAnsi="Arial" w:cs="Arial"/>
      <w:bCs/>
      <w:caps/>
      <w:smallCaps w:val="0"/>
      <w:color w:val="003399"/>
      <w:spacing w:val="0"/>
      <w:sz w:val="22"/>
      <w:szCs w:val="22"/>
    </w:rPr>
  </w:style>
  <w:style w:type="paragraph" w:customStyle="1" w:styleId="CharCharChar1CharCharCharChar">
    <w:name w:val="Char Char Char1 Char Char Char Char"/>
    <w:basedOn w:val="Normal"/>
    <w:uiPriority w:val="99"/>
    <w:pPr>
      <w:spacing w:after="160" w:line="240" w:lineRule="exact"/>
    </w:pPr>
    <w:rPr>
      <w:rFonts w:cs="Angsana New"/>
      <w:sz w:val="20"/>
      <w:szCs w:val="20"/>
    </w:rPr>
  </w:style>
  <w:style w:type="character" w:customStyle="1" w:styleId="CharChar1">
    <w:name w:val="Char Char1"/>
    <w:uiPriority w:val="99"/>
    <w:rPr>
      <w:lang w:val="fr-FR" w:eastAsia="fr-FR"/>
    </w:rPr>
  </w:style>
  <w:style w:type="paragraph" w:customStyle="1" w:styleId="CharChar1Char3">
    <w:name w:val="Char Char1 Char3"/>
    <w:basedOn w:val="Normal"/>
    <w:uiPriority w:val="99"/>
    <w:pPr>
      <w:spacing w:after="160" w:line="240" w:lineRule="exact"/>
    </w:pPr>
    <w:rPr>
      <w:rFonts w:ascii="Verdana" w:hAnsi="Verdana"/>
      <w:sz w:val="20"/>
      <w:szCs w:val="20"/>
    </w:rPr>
  </w:style>
  <w:style w:type="paragraph" w:customStyle="1" w:styleId="Char1">
    <w:name w:val="Char1"/>
    <w:basedOn w:val="Titre2"/>
    <w:uiPriority w:val="99"/>
    <w:pPr>
      <w:pageBreakBefore/>
      <w:tabs>
        <w:tab w:val="left" w:pos="850"/>
        <w:tab w:val="left" w:pos="1191"/>
        <w:tab w:val="left" w:pos="1531"/>
      </w:tabs>
      <w:spacing w:before="120" w:after="120"/>
      <w:ind w:left="0"/>
      <w:jc w:val="center"/>
    </w:pPr>
    <w:rPr>
      <w:rFonts w:ascii="Tahoma" w:hAnsi="Tahoma" w:cs="Tahoma"/>
      <w:bCs w:val="0"/>
      <w:i w:val="0"/>
      <w:color w:val="FFFFFF"/>
      <w:spacing w:val="20"/>
      <w:sz w:val="22"/>
      <w:szCs w:val="22"/>
    </w:rPr>
  </w:style>
  <w:style w:type="paragraph" w:customStyle="1" w:styleId="TextoBase">
    <w:name w:val="TextoBase"/>
    <w:basedOn w:val="Normal"/>
    <w:pPr>
      <w:spacing w:after="120"/>
      <w:ind w:left="360" w:hanging="360"/>
    </w:pPr>
    <w:rPr>
      <w:rFonts w:ascii="Tahoma" w:hAnsi="Tahoma"/>
      <w:sz w:val="20"/>
    </w:rPr>
  </w:style>
  <w:style w:type="paragraph" w:customStyle="1" w:styleId="NumberedParas11">
    <w:name w:val="Numbered Paras 11"/>
    <w:basedOn w:val="Normal"/>
    <w:pPr>
      <w:spacing w:after="0"/>
    </w:pPr>
    <w:rPr>
      <w:rFonts w:ascii="Times New Roman" w:hAnsi="Times New Roman"/>
      <w:noProof/>
      <w:szCs w:val="22"/>
    </w:rPr>
  </w:style>
  <w:style w:type="paragraph" w:customStyle="1" w:styleId="Activities">
    <w:name w:val="Activities"/>
    <w:basedOn w:val="Normal"/>
    <w:link w:val="ActivitiesChar"/>
    <w:qFormat/>
    <w:pPr>
      <w:pBdr>
        <w:left w:val="single" w:sz="4" w:space="4" w:color="auto"/>
      </w:pBdr>
      <w:tabs>
        <w:tab w:val="left" w:pos="993"/>
      </w:tabs>
      <w:spacing w:after="40"/>
      <w:ind w:left="993" w:hanging="709"/>
    </w:pPr>
    <w:rPr>
      <w:rFonts w:ascii="Times New Roman" w:hAnsi="Times New Roman"/>
      <w:color w:val="000000"/>
      <w:sz w:val="24"/>
      <w:szCs w:val="22"/>
    </w:rPr>
  </w:style>
  <w:style w:type="character" w:customStyle="1" w:styleId="ActivitiesChar">
    <w:name w:val="Activities Char"/>
    <w:link w:val="Activities"/>
    <w:locked/>
    <w:rPr>
      <w:color w:val="000000"/>
      <w:sz w:val="22"/>
      <w:lang w:val="fr-FR" w:eastAsia="fr-FR"/>
    </w:rPr>
  </w:style>
  <w:style w:type="paragraph" w:styleId="Tabledesillustrations">
    <w:name w:val="table of figures"/>
    <w:basedOn w:val="Normal"/>
    <w:next w:val="Normal"/>
    <w:uiPriority w:val="99"/>
    <w:pPr>
      <w:spacing w:after="0"/>
    </w:pPr>
    <w:rPr>
      <w:rFonts w:ascii="Times New Roman" w:hAnsi="Times New Roman"/>
      <w:sz w:val="21"/>
    </w:rPr>
  </w:style>
  <w:style w:type="paragraph" w:customStyle="1" w:styleId="Numberedparas110">
    <w:name w:val="Numbered paras 11"/>
    <w:basedOn w:val="Normal"/>
    <w:pPr>
      <w:spacing w:after="0"/>
      <w:ind w:left="720" w:hanging="360"/>
    </w:pPr>
    <w:rPr>
      <w:rFonts w:ascii="Times New Roman" w:hAnsi="Times New Roman"/>
      <w:sz w:val="24"/>
    </w:rPr>
  </w:style>
  <w:style w:type="paragraph" w:customStyle="1" w:styleId="Actnumbers">
    <w:name w:val="Act numbers"/>
    <w:basedOn w:val="Normal"/>
    <w:link w:val="ActnumbersChar"/>
    <w:qFormat/>
    <w:pPr>
      <w:tabs>
        <w:tab w:val="num" w:pos="720"/>
      </w:tabs>
      <w:spacing w:after="0"/>
      <w:ind w:left="357" w:hanging="357"/>
    </w:pPr>
    <w:rPr>
      <w:rFonts w:ascii="Times New Roman" w:hAnsi="Times New Roman"/>
      <w:szCs w:val="22"/>
    </w:rPr>
  </w:style>
  <w:style w:type="character" w:customStyle="1" w:styleId="ActnumbersChar">
    <w:name w:val="Act numbers Char"/>
    <w:link w:val="Actnumbers"/>
    <w:locked/>
    <w:rPr>
      <w:sz w:val="22"/>
      <w:lang w:val="fr-FR" w:eastAsia="fr-FR"/>
    </w:rPr>
  </w:style>
  <w:style w:type="paragraph" w:customStyle="1" w:styleId="CharCharCarCarCharCharChar">
    <w:name w:val="Char Char Car Car Char Char Char"/>
    <w:basedOn w:val="Titre2"/>
    <w:pPr>
      <w:pageBreakBefore/>
      <w:tabs>
        <w:tab w:val="left" w:pos="850"/>
        <w:tab w:val="left" w:pos="1191"/>
        <w:tab w:val="left" w:pos="1531"/>
      </w:tabs>
      <w:spacing w:before="120" w:after="120"/>
      <w:ind w:left="0"/>
      <w:jc w:val="center"/>
    </w:pPr>
    <w:rPr>
      <w:rFonts w:ascii="Tahoma" w:eastAsia="MS Mincho" w:hAnsi="Tahoma" w:cs="Tahoma"/>
      <w:bCs w:val="0"/>
      <w:i w:val="0"/>
      <w:color w:val="FFFFFF"/>
      <w:spacing w:val="20"/>
      <w:sz w:val="22"/>
      <w:szCs w:val="22"/>
    </w:rPr>
  </w:style>
  <w:style w:type="character" w:customStyle="1" w:styleId="Absatz-Standardschriftart">
    <w:name w:val="Absatz-Standardschriftart"/>
  </w:style>
  <w:style w:type="character" w:customStyle="1" w:styleId="WW8Num2z0">
    <w:name w:val="WW8Num2z0"/>
    <w:rPr>
      <w:rFonts w:ascii="Times New Roman" w:hAnsi="Times New Roman"/>
      <w:lang w:val="fr-FR" w:eastAsia="fr-FR"/>
    </w:rPr>
  </w:style>
  <w:style w:type="character" w:customStyle="1" w:styleId="WW8Num2z1">
    <w:name w:val="WW8Num2z1"/>
    <w:rPr>
      <w:rFonts w:ascii="Courier New" w:hAnsi="Courier New"/>
      <w:lang w:val="fr-FR" w:eastAsia="fr-FR"/>
    </w:rPr>
  </w:style>
  <w:style w:type="character" w:customStyle="1" w:styleId="WW8Num2z2">
    <w:name w:val="WW8Num2z2"/>
    <w:rPr>
      <w:rFonts w:ascii="Wingdings" w:hAnsi="Wingdings"/>
      <w:lang w:val="fr-FR" w:eastAsia="fr-FR"/>
    </w:rPr>
  </w:style>
  <w:style w:type="character" w:customStyle="1" w:styleId="WW8Num2z3">
    <w:name w:val="WW8Num2z3"/>
    <w:rPr>
      <w:rFonts w:ascii="Symbol" w:hAnsi="Symbol"/>
      <w:lang w:val="fr-FR" w:eastAsia="fr-FR"/>
    </w:rPr>
  </w:style>
  <w:style w:type="character" w:customStyle="1" w:styleId="WW8Num3z0">
    <w:name w:val="WW8Num3z0"/>
    <w:rPr>
      <w:rFonts w:ascii="Symbol" w:hAnsi="Symbol"/>
      <w:lang w:val="fr-FR" w:eastAsia="fr-FR"/>
    </w:rPr>
  </w:style>
  <w:style w:type="character" w:customStyle="1" w:styleId="WW8Num4z0">
    <w:name w:val="WW8Num4z0"/>
    <w:rPr>
      <w:rFonts w:ascii="Symbol" w:hAnsi="Symbol"/>
      <w:lang w:val="fr-FR" w:eastAsia="fr-FR"/>
    </w:rPr>
  </w:style>
  <w:style w:type="character" w:customStyle="1" w:styleId="WW8Num5z0">
    <w:name w:val="WW8Num5z0"/>
    <w:rPr>
      <w:rFonts w:ascii="Symbol" w:hAnsi="Symbol"/>
      <w:lang w:val="fr-FR" w:eastAsia="fr-FR"/>
    </w:rPr>
  </w:style>
  <w:style w:type="character" w:customStyle="1" w:styleId="WW8Num6z0">
    <w:name w:val="WW8Num6z0"/>
    <w:rPr>
      <w:rFonts w:ascii="Symbol" w:hAnsi="Symbol"/>
      <w:lang w:val="fr-FR" w:eastAsia="fr-FR"/>
    </w:rPr>
  </w:style>
  <w:style w:type="character" w:customStyle="1" w:styleId="WW8Num7z0">
    <w:name w:val="WW8Num7z0"/>
    <w:rPr>
      <w:rFonts w:ascii="Symbol" w:hAnsi="Symbol"/>
      <w:lang w:val="fr-FR" w:eastAsia="fr-FR"/>
    </w:rPr>
  </w:style>
  <w:style w:type="character" w:customStyle="1" w:styleId="WW8Num6z1">
    <w:name w:val="WW8Num6z1"/>
    <w:rPr>
      <w:rFonts w:ascii="Courier New" w:hAnsi="Courier New"/>
      <w:lang w:val="fr-FR" w:eastAsia="fr-FR"/>
    </w:rPr>
  </w:style>
  <w:style w:type="character" w:customStyle="1" w:styleId="WW8Num6z2">
    <w:name w:val="WW8Num6z2"/>
    <w:rPr>
      <w:rFonts w:ascii="Wingdings" w:hAnsi="Wingdings"/>
      <w:lang w:val="fr-FR" w:eastAsia="fr-FR"/>
    </w:rPr>
  </w:style>
  <w:style w:type="character" w:customStyle="1" w:styleId="WW8Num6z3">
    <w:name w:val="WW8Num6z3"/>
    <w:rPr>
      <w:rFonts w:ascii="Symbol" w:hAnsi="Symbol"/>
      <w:lang w:val="fr-FR" w:eastAsia="fr-FR"/>
    </w:rPr>
  </w:style>
  <w:style w:type="character" w:customStyle="1" w:styleId="WW8Num15z0">
    <w:name w:val="WW8Num15z0"/>
    <w:rPr>
      <w:rFonts w:ascii="Symbol" w:hAnsi="Symbol"/>
      <w:lang w:val="fr-FR" w:eastAsia="fr-FR"/>
    </w:rPr>
  </w:style>
  <w:style w:type="character" w:customStyle="1" w:styleId="WW8Num15z1">
    <w:name w:val="WW8Num15z1"/>
    <w:rPr>
      <w:rFonts w:ascii="Courier New" w:hAnsi="Courier New"/>
      <w:lang w:val="fr-FR" w:eastAsia="fr-FR"/>
    </w:rPr>
  </w:style>
  <w:style w:type="character" w:customStyle="1" w:styleId="WW8Num15z2">
    <w:name w:val="WW8Num15z2"/>
    <w:rPr>
      <w:rFonts w:ascii="Wingdings" w:hAnsi="Wingdings"/>
      <w:lang w:val="fr-FR" w:eastAsia="fr-FR"/>
    </w:rPr>
  </w:style>
  <w:style w:type="character" w:customStyle="1" w:styleId="WW8Num10z0">
    <w:name w:val="WW8Num10z0"/>
    <w:rPr>
      <w:rFonts w:ascii="Calibri" w:hAnsi="Calibri"/>
      <w:lang w:val="fr-FR" w:eastAsia="fr-FR"/>
    </w:rPr>
  </w:style>
  <w:style w:type="character" w:customStyle="1" w:styleId="WW8Num10z1">
    <w:name w:val="WW8Num10z1"/>
    <w:rPr>
      <w:rFonts w:ascii="Courier New" w:hAnsi="Courier New"/>
      <w:lang w:val="fr-FR" w:eastAsia="fr-FR"/>
    </w:rPr>
  </w:style>
  <w:style w:type="character" w:customStyle="1" w:styleId="WW8Num10z2">
    <w:name w:val="WW8Num10z2"/>
    <w:rPr>
      <w:rFonts w:ascii="Wingdings" w:hAnsi="Wingdings"/>
      <w:lang w:val="fr-FR" w:eastAsia="fr-FR"/>
    </w:rPr>
  </w:style>
  <w:style w:type="character" w:customStyle="1" w:styleId="WW8Num10z3">
    <w:name w:val="WW8Num10z3"/>
    <w:rPr>
      <w:rFonts w:ascii="Symbol" w:hAnsi="Symbol"/>
      <w:lang w:val="fr-FR" w:eastAsia="fr-FR"/>
    </w:rPr>
  </w:style>
  <w:style w:type="character" w:customStyle="1" w:styleId="NumberingSymbols">
    <w:name w:val="Numbering Symbols"/>
  </w:style>
  <w:style w:type="character" w:customStyle="1" w:styleId="Footnoteanchor">
    <w:name w:val="Footnote anchor"/>
    <w:rPr>
      <w:vertAlign w:val="superscript"/>
      <w:lang w:val="fr-FR" w:eastAsia="fr-FR"/>
    </w:rPr>
  </w:style>
  <w:style w:type="character" w:customStyle="1" w:styleId="InternetLink">
    <w:name w:val="Internet Link"/>
    <w:rPr>
      <w:color w:val="0000FF"/>
      <w:u w:val="single"/>
      <w:lang w:val="fr-FR" w:eastAsia="fr-FR"/>
    </w:rPr>
  </w:style>
  <w:style w:type="character" w:customStyle="1" w:styleId="Endnoteanchor">
    <w:name w:val="Endnote anchor"/>
    <w:rPr>
      <w:vertAlign w:val="superscript"/>
      <w:lang w:val="fr-FR" w:eastAsia="fr-FR"/>
    </w:rPr>
  </w:style>
  <w:style w:type="character" w:customStyle="1" w:styleId="EndnoteCharacters">
    <w:name w:val="Endnote Characters"/>
  </w:style>
  <w:style w:type="table" w:styleId="Grillecouleur-Accent3">
    <w:name w:val="Colorful Grid Accent 3"/>
    <w:basedOn w:val="TableauNormal"/>
    <w:uiPriority w:val="73"/>
    <w:rPr>
      <w:color w:val="000000"/>
      <w:lang w:val="es-ES" w:eastAsia="es-ES"/>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styleId="Liste">
    <w:name w:val="List"/>
    <w:basedOn w:val="Textbody"/>
    <w:uiPriority w:val="99"/>
    <w:rPr>
      <w:rFonts w:cs="Tahoma"/>
    </w:rPr>
  </w:style>
  <w:style w:type="paragraph" w:customStyle="1" w:styleId="Index">
    <w:name w:val="Index"/>
    <w:basedOn w:val="Default"/>
    <w:pPr>
      <w:widowControl w:val="0"/>
      <w:suppressLineNumbers/>
      <w:suppressAutoHyphens/>
      <w:autoSpaceDE/>
      <w:autoSpaceDN/>
      <w:adjustRightInd/>
    </w:pPr>
    <w:rPr>
      <w:rFonts w:ascii="Times New Roman" w:eastAsia="Arial Unicode MS" w:hAnsi="Times New Roman" w:cs="Tahoma"/>
      <w:kern w:val="1"/>
    </w:rPr>
  </w:style>
  <w:style w:type="paragraph" w:customStyle="1" w:styleId="Pn">
    <w:name w:val="Pn"/>
    <w:basedOn w:val="Default"/>
    <w:pPr>
      <w:widowControl w:val="0"/>
      <w:tabs>
        <w:tab w:val="left" w:pos="2956"/>
      </w:tabs>
      <w:suppressAutoHyphens/>
      <w:autoSpaceDE/>
      <w:autoSpaceDN/>
      <w:adjustRightInd/>
      <w:ind w:left="1478" w:hanging="360"/>
    </w:pPr>
    <w:rPr>
      <w:rFonts w:ascii="Times New Roman" w:eastAsia="Arial Unicode MS" w:hAnsi="Times New Roman" w:cs="Times New Roman"/>
      <w:kern w:val="1"/>
    </w:rPr>
  </w:style>
  <w:style w:type="paragraph" w:customStyle="1" w:styleId="TableHeading">
    <w:name w:val="Table Heading"/>
    <w:basedOn w:val="TableContents"/>
    <w:pPr>
      <w:jc w:val="center"/>
    </w:pPr>
    <w:rPr>
      <w:b/>
      <w:bCs/>
    </w:rPr>
  </w:style>
  <w:style w:type="character" w:customStyle="1" w:styleId="WW8Num16z0">
    <w:name w:val="WW8Num16z0"/>
    <w:rPr>
      <w:rFonts w:ascii="Wingdings" w:hAnsi="Wingdings"/>
      <w:color w:val="000000"/>
      <w:lang w:val="fr-FR" w:eastAsia="fr-FR"/>
    </w:rPr>
  </w:style>
  <w:style w:type="paragraph" w:customStyle="1" w:styleId="PIFParas">
    <w:name w:val="PIF Paras"/>
    <w:basedOn w:val="Normal"/>
    <w:link w:val="PIFParasChar"/>
    <w:pPr>
      <w:widowControl w:val="0"/>
      <w:numPr>
        <w:numId w:val="9"/>
      </w:numPr>
      <w:spacing w:after="100"/>
    </w:pPr>
    <w:rPr>
      <w:rFonts w:ascii="Times New Roman" w:hAnsi="Times New Roman"/>
    </w:rPr>
  </w:style>
  <w:style w:type="character" w:customStyle="1" w:styleId="PIFParasChar">
    <w:name w:val="PIF Paras Char"/>
    <w:link w:val="PIFParas"/>
    <w:locked/>
    <w:rPr>
      <w:sz w:val="22"/>
      <w:szCs w:val="24"/>
      <w:lang w:val="fr-FR" w:eastAsia="fr-FR"/>
    </w:rPr>
  </w:style>
  <w:style w:type="paragraph" w:styleId="TM5">
    <w:name w:val="toc 5"/>
    <w:basedOn w:val="Normal"/>
    <w:next w:val="Normal"/>
    <w:autoRedefine/>
    <w:uiPriority w:val="39"/>
    <w:pPr>
      <w:spacing w:after="100"/>
      <w:ind w:left="960"/>
    </w:pPr>
    <w:rPr>
      <w:rFonts w:ascii="Times New Roman" w:hAnsi="Times New Roman"/>
      <w:sz w:val="24"/>
    </w:rPr>
  </w:style>
  <w:style w:type="paragraph" w:customStyle="1" w:styleId="Arial10">
    <w:name w:val="Arial 10"/>
    <w:basedOn w:val="Normal"/>
    <w:pPr>
      <w:spacing w:after="0"/>
      <w:jc w:val="left"/>
    </w:pPr>
    <w:rPr>
      <w:sz w:val="20"/>
    </w:rPr>
  </w:style>
  <w:style w:type="paragraph" w:customStyle="1" w:styleId="Arial8">
    <w:name w:val="Arial 8"/>
    <w:rPr>
      <w:rFonts w:ascii="Arial" w:hAnsi="Arial"/>
      <w:b/>
      <w:sz w:val="16"/>
      <w:szCs w:val="24"/>
      <w:lang w:val="fr-FR" w:eastAsia="fr-FR"/>
    </w:rPr>
  </w:style>
  <w:style w:type="paragraph" w:customStyle="1" w:styleId="Arial8bold">
    <w:name w:val="Arial 8 bold"/>
    <w:basedOn w:val="Normal"/>
    <w:pPr>
      <w:spacing w:after="0"/>
      <w:jc w:val="left"/>
    </w:pPr>
    <w:rPr>
      <w:b/>
      <w:sz w:val="16"/>
    </w:rPr>
  </w:style>
  <w:style w:type="paragraph" w:styleId="Normalcentr">
    <w:name w:val="Block Text"/>
    <w:basedOn w:val="Normal"/>
    <w:uiPriority w:val="99"/>
    <w:pPr>
      <w:autoSpaceDE w:val="0"/>
      <w:autoSpaceDN w:val="0"/>
      <w:adjustRightInd w:val="0"/>
      <w:spacing w:after="0"/>
      <w:ind w:left="1080" w:right="108"/>
      <w:jc w:val="center"/>
    </w:pPr>
    <w:rPr>
      <w:rFonts w:ascii="Times New Roman" w:hAnsi="Times New Roman"/>
      <w:b/>
      <w:bCs/>
      <w:u w:val="single"/>
    </w:rPr>
  </w:style>
  <w:style w:type="paragraph" w:styleId="Liste2">
    <w:name w:val="List 2"/>
    <w:basedOn w:val="Normal"/>
    <w:uiPriority w:val="99"/>
    <w:pPr>
      <w:spacing w:after="0"/>
      <w:ind w:left="720" w:hanging="360"/>
      <w:jc w:val="left"/>
    </w:pPr>
    <w:rPr>
      <w:rFonts w:ascii="Times New Roman" w:hAnsi="Times New Roman"/>
      <w:sz w:val="24"/>
    </w:rPr>
  </w:style>
  <w:style w:type="paragraph" w:styleId="Listepuces">
    <w:name w:val="List Bullet"/>
    <w:basedOn w:val="Normal"/>
    <w:autoRedefine/>
    <w:uiPriority w:val="99"/>
    <w:pPr>
      <w:tabs>
        <w:tab w:val="num" w:pos="284"/>
      </w:tabs>
      <w:spacing w:after="0"/>
      <w:ind w:left="360" w:hanging="360"/>
      <w:jc w:val="left"/>
    </w:pPr>
    <w:rPr>
      <w:rFonts w:ascii="Times New Roman" w:hAnsi="Times New Roman"/>
      <w:sz w:val="24"/>
    </w:rPr>
  </w:style>
  <w:style w:type="paragraph" w:styleId="Listepuces2">
    <w:name w:val="List Bullet 2"/>
    <w:basedOn w:val="Normal"/>
    <w:autoRedefine/>
    <w:uiPriority w:val="99"/>
    <w:pPr>
      <w:tabs>
        <w:tab w:val="num" w:pos="643"/>
        <w:tab w:val="num" w:pos="720"/>
        <w:tab w:val="num" w:pos="1080"/>
      </w:tabs>
      <w:spacing w:after="0"/>
      <w:ind w:left="643" w:hanging="360"/>
      <w:jc w:val="left"/>
    </w:pPr>
    <w:rPr>
      <w:rFonts w:ascii="Times New Roman" w:hAnsi="Times New Roman"/>
      <w:sz w:val="24"/>
    </w:rPr>
  </w:style>
  <w:style w:type="paragraph" w:customStyle="1" w:styleId="Style1">
    <w:name w:val="Style 1"/>
    <w:basedOn w:val="Normal"/>
    <w:pPr>
      <w:widowControl w:val="0"/>
      <w:tabs>
        <w:tab w:val="left" w:pos="2952"/>
      </w:tabs>
      <w:autoSpaceDE w:val="0"/>
      <w:autoSpaceDN w:val="0"/>
      <w:spacing w:after="0" w:line="288" w:lineRule="atLeast"/>
      <w:jc w:val="left"/>
    </w:pPr>
    <w:rPr>
      <w:rFonts w:ascii="Times New Roman" w:hAnsi="Times New Roman"/>
      <w:sz w:val="24"/>
    </w:rPr>
  </w:style>
  <w:style w:type="paragraph" w:customStyle="1" w:styleId="Style2">
    <w:name w:val="Style 2"/>
    <w:basedOn w:val="Normal"/>
    <w:pPr>
      <w:widowControl w:val="0"/>
      <w:autoSpaceDE w:val="0"/>
      <w:autoSpaceDN w:val="0"/>
      <w:spacing w:after="0"/>
    </w:pPr>
    <w:rPr>
      <w:rFonts w:ascii="Times New Roman" w:hAnsi="Times New Roman"/>
      <w:sz w:val="24"/>
    </w:rPr>
  </w:style>
  <w:style w:type="paragraph" w:customStyle="1" w:styleId="Style3">
    <w:name w:val="Style 3"/>
    <w:basedOn w:val="Normal"/>
    <w:pPr>
      <w:widowControl w:val="0"/>
      <w:autoSpaceDE w:val="0"/>
      <w:autoSpaceDN w:val="0"/>
      <w:spacing w:before="360" w:after="10332" w:line="240" w:lineRule="atLeast"/>
      <w:ind w:right="432"/>
      <w:jc w:val="left"/>
    </w:pPr>
    <w:rPr>
      <w:rFonts w:ascii="Times New Roman" w:hAnsi="Times New Roman"/>
      <w:sz w:val="24"/>
    </w:rPr>
  </w:style>
  <w:style w:type="paragraph" w:customStyle="1" w:styleId="Style4">
    <w:name w:val="Style 4"/>
    <w:basedOn w:val="Normal"/>
    <w:pPr>
      <w:widowControl w:val="0"/>
      <w:autoSpaceDE w:val="0"/>
      <w:autoSpaceDN w:val="0"/>
      <w:spacing w:after="0"/>
      <w:ind w:left="72"/>
      <w:jc w:val="left"/>
    </w:pPr>
    <w:rPr>
      <w:rFonts w:ascii="Times New Roman" w:hAnsi="Times New Roman"/>
      <w:sz w:val="24"/>
    </w:rPr>
  </w:style>
  <w:style w:type="character" w:customStyle="1" w:styleId="EmailStyle1831">
    <w:name w:val="EmailStyle1831"/>
    <w:semiHidden/>
    <w:rPr>
      <w:rFonts w:ascii="Arial" w:hAnsi="Arial"/>
      <w:color w:val="000080"/>
      <w:sz w:val="20"/>
      <w:lang w:val="fr-FR" w:eastAsia="fr-FR"/>
    </w:rPr>
  </w:style>
  <w:style w:type="paragraph" w:customStyle="1" w:styleId="Pa0">
    <w:name w:val="Pa0"/>
    <w:basedOn w:val="Default"/>
    <w:next w:val="Default"/>
    <w:pPr>
      <w:spacing w:line="241" w:lineRule="atLeast"/>
    </w:pPr>
    <w:rPr>
      <w:rFonts w:ascii="Myriad" w:eastAsia="Times New Roman" w:hAnsi="Myriad" w:cs="Times New Roman"/>
    </w:rPr>
  </w:style>
  <w:style w:type="character" w:customStyle="1" w:styleId="A4">
    <w:name w:val="A4"/>
    <w:rPr>
      <w:color w:val="000000"/>
      <w:sz w:val="20"/>
      <w:lang w:val="fr-FR" w:eastAsia="fr-FR"/>
    </w:rPr>
  </w:style>
  <w:style w:type="character" w:customStyle="1" w:styleId="A8">
    <w:name w:val="A8"/>
    <w:rPr>
      <w:color w:val="626262"/>
      <w:sz w:val="60"/>
      <w:lang w:val="fr-FR" w:eastAsia="fr-FR"/>
    </w:rPr>
  </w:style>
  <w:style w:type="character" w:customStyle="1" w:styleId="A9">
    <w:name w:val="A9"/>
    <w:rPr>
      <w:color w:val="206461"/>
      <w:sz w:val="30"/>
      <w:lang w:val="fr-FR" w:eastAsia="fr-FR"/>
    </w:rPr>
  </w:style>
  <w:style w:type="character" w:customStyle="1" w:styleId="A10">
    <w:name w:val="A10"/>
    <w:rPr>
      <w:color w:val="7C7C7C"/>
      <w:sz w:val="46"/>
      <w:lang w:val="fr-FR" w:eastAsia="fr-FR"/>
    </w:rPr>
  </w:style>
  <w:style w:type="paragraph" w:customStyle="1" w:styleId="Pa3">
    <w:name w:val="Pa3"/>
    <w:basedOn w:val="Default"/>
    <w:next w:val="Default"/>
    <w:pPr>
      <w:spacing w:line="401" w:lineRule="atLeast"/>
    </w:pPr>
    <w:rPr>
      <w:rFonts w:ascii="Myriad Pro" w:eastAsia="Times New Roman" w:hAnsi="Myriad Pro" w:cs="Times New Roman"/>
    </w:rPr>
  </w:style>
  <w:style w:type="character" w:customStyle="1" w:styleId="A7">
    <w:name w:val="A7"/>
    <w:rPr>
      <w:color w:val="206461"/>
      <w:sz w:val="42"/>
      <w:lang w:val="fr-FR" w:eastAsia="fr-FR"/>
    </w:rPr>
  </w:style>
  <w:style w:type="character" w:customStyle="1" w:styleId="A12">
    <w:name w:val="A12"/>
    <w:rPr>
      <w:color w:val="000000"/>
      <w:sz w:val="23"/>
      <w:lang w:val="fr-FR" w:eastAsia="fr-FR"/>
    </w:rPr>
  </w:style>
  <w:style w:type="paragraph" w:customStyle="1" w:styleId="Pa6">
    <w:name w:val="Pa6"/>
    <w:basedOn w:val="Default"/>
    <w:next w:val="Default"/>
    <w:pPr>
      <w:spacing w:line="241" w:lineRule="atLeast"/>
    </w:pPr>
    <w:rPr>
      <w:rFonts w:ascii="Adobe Caslon Pro" w:eastAsia="Times New Roman" w:hAnsi="Adobe Caslon Pro" w:cs="Times New Roman"/>
    </w:rPr>
  </w:style>
  <w:style w:type="character" w:customStyle="1" w:styleId="A13">
    <w:name w:val="A13"/>
    <w:rPr>
      <w:rFonts w:ascii="Zapf Dingbats" w:hAnsi="Zapf Dingbats"/>
      <w:color w:val="206461"/>
      <w:sz w:val="16"/>
      <w:lang w:val="fr-FR" w:eastAsia="fr-FR"/>
    </w:rPr>
  </w:style>
  <w:style w:type="paragraph" w:customStyle="1" w:styleId="Pa11">
    <w:name w:val="Pa11"/>
    <w:basedOn w:val="Default"/>
    <w:next w:val="Default"/>
    <w:pPr>
      <w:spacing w:line="241" w:lineRule="atLeast"/>
    </w:pPr>
    <w:rPr>
      <w:rFonts w:ascii="Myriad Pro" w:eastAsia="Times New Roman" w:hAnsi="Myriad Pro" w:cs="Times New Roman"/>
    </w:rPr>
  </w:style>
  <w:style w:type="character" w:customStyle="1" w:styleId="A19">
    <w:name w:val="A19"/>
    <w:rPr>
      <w:color w:val="626262"/>
      <w:sz w:val="34"/>
      <w:lang w:val="fr-FR" w:eastAsia="fr-FR"/>
    </w:rPr>
  </w:style>
  <w:style w:type="character" w:customStyle="1" w:styleId="A15">
    <w:name w:val="A15"/>
    <w:rPr>
      <w:rFonts w:ascii="Myriad" w:hAnsi="Myriad"/>
      <w:color w:val="000000"/>
      <w:sz w:val="28"/>
      <w:lang w:val="fr-FR" w:eastAsia="fr-FR"/>
    </w:rPr>
  </w:style>
  <w:style w:type="paragraph" w:customStyle="1" w:styleId="Pa8">
    <w:name w:val="Pa8"/>
    <w:basedOn w:val="Default"/>
    <w:next w:val="Default"/>
    <w:pPr>
      <w:spacing w:line="241" w:lineRule="atLeast"/>
    </w:pPr>
    <w:rPr>
      <w:rFonts w:ascii="Myriad Pro" w:eastAsia="Times New Roman" w:hAnsi="Myriad Pro" w:cs="Times New Roman"/>
    </w:rPr>
  </w:style>
  <w:style w:type="character" w:customStyle="1" w:styleId="A16">
    <w:name w:val="A16"/>
    <w:rPr>
      <w:rFonts w:ascii="Adobe Caslon" w:hAnsi="Adobe Caslon"/>
      <w:color w:val="000000"/>
      <w:sz w:val="9"/>
      <w:lang w:val="fr-FR" w:eastAsia="fr-FR"/>
    </w:rPr>
  </w:style>
  <w:style w:type="character" w:customStyle="1" w:styleId="A17">
    <w:name w:val="A17"/>
    <w:rPr>
      <w:rFonts w:ascii="Adobe Caslon" w:hAnsi="Adobe Caslon"/>
      <w:color w:val="000000"/>
      <w:sz w:val="10"/>
      <w:lang w:val="fr-FR" w:eastAsia="fr-FR"/>
    </w:rPr>
  </w:style>
  <w:style w:type="paragraph" w:customStyle="1" w:styleId="Pa9">
    <w:name w:val="Pa9"/>
    <w:basedOn w:val="Default"/>
    <w:next w:val="Default"/>
    <w:pPr>
      <w:spacing w:line="181" w:lineRule="atLeast"/>
    </w:pPr>
    <w:rPr>
      <w:rFonts w:ascii="Myriad Pro" w:eastAsia="Times New Roman" w:hAnsi="Myriad Pro" w:cs="Times New Roman"/>
    </w:rPr>
  </w:style>
  <w:style w:type="character" w:customStyle="1" w:styleId="A18">
    <w:name w:val="A18"/>
    <w:rPr>
      <w:rFonts w:ascii="Myriad" w:hAnsi="Myriad"/>
      <w:color w:val="000000"/>
      <w:sz w:val="18"/>
      <w:lang w:val="fr-FR" w:eastAsia="fr-FR"/>
    </w:rPr>
  </w:style>
  <w:style w:type="paragraph" w:customStyle="1" w:styleId="Pa10">
    <w:name w:val="Pa10"/>
    <w:basedOn w:val="Default"/>
    <w:next w:val="Default"/>
    <w:pPr>
      <w:spacing w:line="201" w:lineRule="atLeast"/>
    </w:pPr>
    <w:rPr>
      <w:rFonts w:ascii="Myriad Pro" w:eastAsia="Times New Roman" w:hAnsi="Myriad Pro" w:cs="Times New Roman"/>
    </w:rPr>
  </w:style>
  <w:style w:type="character" w:customStyle="1" w:styleId="A0">
    <w:name w:val="A0"/>
    <w:rPr>
      <w:color w:val="FFFFFF"/>
      <w:sz w:val="22"/>
      <w:lang w:val="fr-FR" w:eastAsia="fr-FR"/>
    </w:rPr>
  </w:style>
  <w:style w:type="paragraph" w:customStyle="1" w:styleId="Sub-Para1underX">
    <w:name w:val="Sub-Para 1 under X."/>
    <w:basedOn w:val="Normal"/>
    <w:pPr>
      <w:tabs>
        <w:tab w:val="num" w:pos="1080"/>
      </w:tabs>
      <w:spacing w:after="240"/>
      <w:ind w:left="720" w:hanging="360"/>
      <w:jc w:val="left"/>
      <w:outlineLvl w:val="2"/>
    </w:pPr>
    <w:rPr>
      <w:rFonts w:ascii="Times New Roman" w:hAnsi="Times New Roman"/>
      <w:sz w:val="24"/>
    </w:rPr>
  </w:style>
  <w:style w:type="paragraph" w:customStyle="1" w:styleId="Sub-Para2underX">
    <w:name w:val="Sub-Para 2 under X."/>
    <w:basedOn w:val="Normal"/>
    <w:pPr>
      <w:tabs>
        <w:tab w:val="num" w:pos="1800"/>
      </w:tabs>
      <w:spacing w:after="240"/>
      <w:ind w:left="1080" w:hanging="360"/>
      <w:jc w:val="left"/>
      <w:outlineLvl w:val="3"/>
    </w:pPr>
    <w:rPr>
      <w:rFonts w:ascii="Times New Roman" w:hAnsi="Times New Roman"/>
      <w:sz w:val="24"/>
    </w:rPr>
  </w:style>
  <w:style w:type="paragraph" w:customStyle="1" w:styleId="Sub-Para3underX">
    <w:name w:val="Sub-Para 3 under X."/>
    <w:basedOn w:val="Normal"/>
    <w:pPr>
      <w:tabs>
        <w:tab w:val="num" w:pos="1440"/>
      </w:tabs>
      <w:spacing w:after="240"/>
      <w:ind w:left="1440" w:hanging="360"/>
      <w:jc w:val="left"/>
      <w:outlineLvl w:val="4"/>
    </w:pPr>
    <w:rPr>
      <w:rFonts w:ascii="Times New Roman" w:hAnsi="Times New Roman"/>
      <w:sz w:val="24"/>
    </w:rPr>
  </w:style>
  <w:style w:type="paragraph" w:customStyle="1" w:styleId="Sub-Para4underX">
    <w:name w:val="Sub-Para 4 under X."/>
    <w:basedOn w:val="Normal"/>
    <w:pPr>
      <w:tabs>
        <w:tab w:val="num" w:pos="2160"/>
      </w:tabs>
      <w:spacing w:after="240"/>
      <w:ind w:left="1800" w:hanging="360"/>
      <w:jc w:val="left"/>
      <w:outlineLvl w:val="5"/>
    </w:pPr>
    <w:rPr>
      <w:rFonts w:ascii="Times New Roman" w:hAnsi="Times New Roman"/>
      <w:sz w:val="24"/>
    </w:rPr>
  </w:style>
  <w:style w:type="table" w:customStyle="1" w:styleId="LightGrid1">
    <w:name w:val="Light Grid1"/>
    <w:basedOn w:val="TableauNormal"/>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MainParanoChapterChar">
    <w:name w:val="Main Para no Chapter # Char"/>
    <w:link w:val="MainParanoChapter"/>
    <w:locked/>
    <w:rPr>
      <w:sz w:val="24"/>
      <w:lang w:val="fr-FR" w:eastAsia="fr-FR"/>
    </w:rPr>
  </w:style>
  <w:style w:type="paragraph" w:customStyle="1" w:styleId="font5">
    <w:name w:val="font5"/>
    <w:basedOn w:val="Normal"/>
    <w:pPr>
      <w:spacing w:before="100" w:beforeAutospacing="1" w:after="100" w:afterAutospacing="1"/>
      <w:jc w:val="left"/>
    </w:pPr>
    <w:rPr>
      <w:rFonts w:ascii="Times New Roman" w:hAnsi="Times New Roman"/>
      <w:color w:val="000000"/>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66">
    <w:name w:val="xl66"/>
    <w:basedOn w:val="Normal"/>
    <w:pPr>
      <w:spacing w:before="100" w:beforeAutospacing="1" w:after="100" w:afterAutospacing="1"/>
      <w:jc w:val="left"/>
      <w:textAlignment w:val="top"/>
    </w:pPr>
    <w:rPr>
      <w:rFonts w:ascii="Times New Roman" w:hAnsi="Times New Roman"/>
      <w:sz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left"/>
      <w:textAlignment w:val="top"/>
    </w:pPr>
    <w:rPr>
      <w:rFonts w:ascii="Times New Roman" w:hAnsi="Times New Roman"/>
      <w:b/>
      <w:bCs/>
      <w:sz w:val="16"/>
      <w:szCs w:val="16"/>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i/>
      <w:i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b/>
      <w:bCs/>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3B3B3"/>
      <w:spacing w:before="100" w:beforeAutospacing="1" w:after="100" w:afterAutospacing="1"/>
      <w:jc w:val="left"/>
      <w:textAlignment w:val="top"/>
    </w:pPr>
    <w:rPr>
      <w:rFonts w:ascii="Times New Roman" w:hAnsi="Times New Roman"/>
      <w:b/>
      <w:bC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B3B3B3"/>
      <w:spacing w:before="100" w:beforeAutospacing="1" w:after="100" w:afterAutospacing="1"/>
      <w:jc w:val="left"/>
      <w:textAlignment w:val="top"/>
    </w:pPr>
    <w:rPr>
      <w:rFonts w:ascii="Times New Roman" w:hAnsi="Times New Roman"/>
      <w:sz w:val="16"/>
      <w:szCs w:val="16"/>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16"/>
      <w:szCs w:val="16"/>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rPr>
  </w:style>
  <w:style w:type="paragraph" w:customStyle="1" w:styleId="xl79">
    <w:name w:val="xl79"/>
    <w:basedOn w:val="Normal"/>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left"/>
      <w:textAlignment w:val="top"/>
    </w:pPr>
    <w:rPr>
      <w:rFonts w:ascii="Times New Roman" w:hAnsi="Times New Roman"/>
      <w:b/>
      <w:bCs/>
      <w:sz w:val="16"/>
      <w:szCs w:val="16"/>
    </w:rPr>
  </w:style>
  <w:style w:type="paragraph" w:customStyle="1" w:styleId="xl80">
    <w:name w:val="xl80"/>
    <w:basedOn w:val="Normal"/>
    <w:pPr>
      <w:pBdr>
        <w:bottom w:val="single" w:sz="8" w:space="0" w:color="auto"/>
      </w:pBdr>
      <w:spacing w:before="100" w:beforeAutospacing="1" w:after="100" w:afterAutospacing="1"/>
      <w:jc w:val="left"/>
    </w:pPr>
    <w:rPr>
      <w:rFonts w:ascii="Times New Roman" w:hAnsi="Times New Roman"/>
      <w:sz w:val="24"/>
    </w:rPr>
  </w:style>
  <w:style w:type="paragraph" w:customStyle="1" w:styleId="xl81">
    <w:name w:val="xl81"/>
    <w:basedOn w:val="Normal"/>
    <w:pPr>
      <w:pBdr>
        <w:top w:val="single" w:sz="8" w:space="0" w:color="auto"/>
        <w:bottom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pPr>
      <w:pBdr>
        <w:top w:val="single" w:sz="8" w:space="0" w:color="auto"/>
        <w:bottom w:val="single" w:sz="4" w:space="0" w:color="auto"/>
        <w:right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pPr>
      <w:pBdr>
        <w:top w:val="single" w:sz="4" w:space="0" w:color="auto"/>
        <w:bottom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84">
    <w:name w:val="xl84"/>
    <w:basedOn w:val="Normal"/>
    <w:pPr>
      <w:pBdr>
        <w:top w:val="single" w:sz="4" w:space="0" w:color="auto"/>
        <w:bottom w:val="single" w:sz="4" w:space="0" w:color="auto"/>
        <w:right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pPr>
      <w:pBdr>
        <w:bottom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pPr>
      <w:pBdr>
        <w:bottom w:val="single" w:sz="4" w:space="0" w:color="auto"/>
        <w:right w:val="single" w:sz="4" w:space="0" w:color="auto"/>
      </w:pBdr>
      <w:shd w:val="clear" w:color="000000" w:fill="C2D69A"/>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left"/>
      <w:textAlignment w:val="top"/>
    </w:pPr>
    <w:rPr>
      <w:rFonts w:ascii="Times New Roman" w:hAnsi="Times New Roman"/>
      <w:b/>
      <w:bCs/>
      <w:sz w:val="16"/>
      <w:szCs w:val="16"/>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left"/>
      <w:textAlignment w:val="top"/>
    </w:pPr>
    <w:rPr>
      <w:rFonts w:ascii="Times New Roman" w:hAnsi="Times New Roman"/>
      <w:b/>
      <w:bCs/>
      <w:sz w:val="24"/>
    </w:rPr>
  </w:style>
  <w:style w:type="paragraph" w:customStyle="1" w:styleId="xl90">
    <w:name w:val="xl90"/>
    <w:basedOn w:val="Normal"/>
    <w:pPr>
      <w:pBdr>
        <w:left w:val="single" w:sz="4" w:space="0" w:color="auto"/>
        <w:bottom w:val="single" w:sz="4" w:space="0" w:color="auto"/>
      </w:pBdr>
      <w:shd w:val="clear" w:color="000000" w:fill="C2D69A"/>
      <w:spacing w:before="100" w:beforeAutospacing="1" w:after="100" w:afterAutospacing="1"/>
      <w:jc w:val="left"/>
      <w:textAlignment w:val="top"/>
    </w:pPr>
    <w:rPr>
      <w:rFonts w:ascii="Times New Roman" w:hAnsi="Times New Roman"/>
      <w:b/>
      <w:bCs/>
      <w:sz w:val="24"/>
    </w:rPr>
  </w:style>
  <w:style w:type="paragraph" w:customStyle="1" w:styleId="xl91">
    <w:name w:val="xl91"/>
    <w:basedOn w:val="Normal"/>
    <w:pPr>
      <w:pBdr>
        <w:top w:val="single" w:sz="4" w:space="0" w:color="auto"/>
        <w:left w:val="single" w:sz="4" w:space="0" w:color="auto"/>
        <w:bottom w:val="single" w:sz="4" w:space="0" w:color="auto"/>
      </w:pBdr>
      <w:shd w:val="clear" w:color="000000" w:fill="C2D69A"/>
      <w:spacing w:before="100" w:beforeAutospacing="1" w:after="100" w:afterAutospacing="1"/>
      <w:jc w:val="left"/>
      <w:textAlignment w:val="top"/>
    </w:pPr>
    <w:rPr>
      <w:rFonts w:ascii="Times New Roman" w:hAnsi="Times New Roman"/>
      <w:b/>
      <w:bCs/>
      <w:sz w:val="24"/>
    </w:rPr>
  </w:style>
  <w:style w:type="paragraph" w:customStyle="1" w:styleId="xl92">
    <w:name w:val="xl92"/>
    <w:basedOn w:val="Normal"/>
    <w:pPr>
      <w:pBdr>
        <w:top w:val="single" w:sz="8" w:space="0" w:color="auto"/>
        <w:left w:val="single" w:sz="4" w:space="0" w:color="auto"/>
        <w:bottom w:val="single" w:sz="4" w:space="0" w:color="auto"/>
      </w:pBdr>
      <w:shd w:val="clear" w:color="000000" w:fill="C2D69A"/>
      <w:spacing w:before="100" w:beforeAutospacing="1" w:after="100" w:afterAutospacing="1"/>
      <w:jc w:val="left"/>
      <w:textAlignment w:val="top"/>
    </w:pPr>
    <w:rPr>
      <w:rFonts w:ascii="Times New Roman" w:hAnsi="Times New Roman"/>
      <w:b/>
      <w:bCs/>
      <w:sz w:val="24"/>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ormal"/>
    <w:pPr>
      <w:spacing w:before="100" w:beforeAutospacing="1" w:after="100" w:afterAutospacing="1"/>
      <w:jc w:val="left"/>
    </w:pPr>
    <w:rPr>
      <w:rFonts w:ascii="Tahoma" w:hAnsi="Tahoma" w:cs="Tahoma"/>
      <w:color w:val="000000"/>
      <w:sz w:val="18"/>
      <w:szCs w:val="18"/>
    </w:rPr>
  </w:style>
  <w:style w:type="paragraph" w:customStyle="1" w:styleId="xl93">
    <w:name w:val="xl93"/>
    <w:basedOn w:val="Normal"/>
    <w:pPr>
      <w:pBdr>
        <w:top w:val="single" w:sz="4" w:space="0" w:color="auto"/>
        <w:left w:val="single" w:sz="4" w:space="0" w:color="auto"/>
        <w:right w:val="single" w:sz="8" w:space="0" w:color="auto"/>
      </w:pBdr>
      <w:shd w:val="clear" w:color="000000" w:fill="F2F2F2"/>
      <w:spacing w:before="100" w:beforeAutospacing="1" w:after="100" w:afterAutospacing="1"/>
      <w:jc w:val="center"/>
      <w:textAlignment w:val="top"/>
    </w:pPr>
    <w:rPr>
      <w:rFonts w:ascii="Times New Roman" w:hAnsi="Times New Roman"/>
      <w:sz w:val="18"/>
      <w:szCs w:val="18"/>
    </w:rPr>
  </w:style>
  <w:style w:type="paragraph" w:customStyle="1" w:styleId="xl94">
    <w:name w:val="xl94"/>
    <w:basedOn w:val="Normal"/>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95">
    <w:name w:val="xl95"/>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6">
    <w:name w:val="xl96"/>
    <w:basedOn w:val="Normal"/>
    <w:pPr>
      <w:pBdr>
        <w:left w:val="single" w:sz="8" w:space="0" w:color="auto"/>
      </w:pBdr>
      <w:shd w:val="clear" w:color="000000" w:fill="EEECE1"/>
      <w:spacing w:before="100" w:beforeAutospacing="1" w:after="100" w:afterAutospacing="1"/>
      <w:jc w:val="left"/>
      <w:textAlignment w:val="top"/>
    </w:pPr>
    <w:rPr>
      <w:rFonts w:ascii="Times New Roman" w:hAnsi="Times New Roman"/>
      <w:b/>
      <w:bCs/>
      <w:sz w:val="18"/>
      <w:szCs w:val="18"/>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8"/>
      <w:szCs w:val="18"/>
    </w:rPr>
  </w:style>
  <w:style w:type="paragraph" w:customStyle="1" w:styleId="xl98">
    <w:name w:val="xl98"/>
    <w:basedOn w:val="Normal"/>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top"/>
    </w:pPr>
    <w:rPr>
      <w:rFonts w:ascii="Times New Roman" w:hAnsi="Times New Roman"/>
      <w:sz w:val="18"/>
      <w:szCs w:val="18"/>
    </w:rPr>
  </w:style>
  <w:style w:type="paragraph" w:customStyle="1" w:styleId="xl99">
    <w:name w:val="xl99"/>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0">
    <w:name w:val="xl100"/>
    <w:basedOn w:val="Normal"/>
    <w:pPr>
      <w:pBdr>
        <w:left w:val="single" w:sz="4" w:space="0" w:color="auto"/>
        <w:bottom w:val="single" w:sz="4"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101">
    <w:name w:val="xl101"/>
    <w:basedOn w:val="Normal"/>
    <w:pPr>
      <w:pBdr>
        <w:left w:val="single" w:sz="8" w:space="0" w:color="auto"/>
        <w:bottom w:val="single" w:sz="8" w:space="0" w:color="auto"/>
      </w:pBdr>
      <w:spacing w:before="100" w:beforeAutospacing="1" w:after="100" w:afterAutospacing="1"/>
      <w:jc w:val="left"/>
      <w:textAlignment w:val="top"/>
    </w:pPr>
    <w:rPr>
      <w:rFonts w:ascii="Times New Roman" w:hAnsi="Times New Roman"/>
      <w:i/>
      <w:iCs/>
      <w:sz w:val="24"/>
    </w:rPr>
  </w:style>
  <w:style w:type="paragraph" w:customStyle="1" w:styleId="xl102">
    <w:name w:val="xl102"/>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8"/>
      <w:szCs w:val="28"/>
    </w:rPr>
  </w:style>
  <w:style w:type="paragraph" w:customStyle="1" w:styleId="xl103">
    <w:name w:val="xl103"/>
    <w:basedOn w:val="Normal"/>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rFonts w:ascii="Times New Roman" w:hAnsi="Times New Roman"/>
      <w:sz w:val="18"/>
      <w:szCs w:val="18"/>
    </w:rPr>
  </w:style>
  <w:style w:type="paragraph" w:customStyle="1" w:styleId="xl104">
    <w:name w:val="xl104"/>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8"/>
      <w:szCs w:val="28"/>
    </w:rPr>
  </w:style>
  <w:style w:type="paragraph" w:customStyle="1" w:styleId="xl106">
    <w:name w:val="xl106"/>
    <w:basedOn w:val="Normal"/>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rFonts w:ascii="Times New Roman" w:hAnsi="Times New Roman"/>
      <w:sz w:val="18"/>
      <w:szCs w:val="18"/>
    </w:rPr>
  </w:style>
  <w:style w:type="paragraph" w:customStyle="1" w:styleId="xl107">
    <w:name w:val="xl10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8">
    <w:name w:val="xl108"/>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8"/>
      <w:szCs w:val="28"/>
    </w:rPr>
  </w:style>
  <w:style w:type="paragraph" w:customStyle="1" w:styleId="xl109">
    <w:name w:val="xl109"/>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10">
    <w:name w:val="xl110"/>
    <w:basedOn w:val="Normal"/>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pPr>
    <w:rPr>
      <w:rFonts w:ascii="Times New Roman" w:hAnsi="Times New Roman"/>
      <w:sz w:val="18"/>
      <w:szCs w:val="18"/>
    </w:rPr>
  </w:style>
  <w:style w:type="paragraph" w:customStyle="1" w:styleId="xl111">
    <w:name w:val="xl111"/>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2">
    <w:name w:val="xl112"/>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13">
    <w:name w:val="xl113"/>
    <w:basedOn w:val="Normal"/>
    <w:pPr>
      <w:pBdr>
        <w:left w:val="single" w:sz="8" w:space="0" w:color="auto"/>
      </w:pBdr>
      <w:shd w:val="clear" w:color="000000" w:fill="FDE9D9"/>
      <w:spacing w:before="100" w:beforeAutospacing="1" w:after="100" w:afterAutospacing="1"/>
      <w:jc w:val="left"/>
      <w:textAlignment w:val="top"/>
    </w:pPr>
    <w:rPr>
      <w:rFonts w:ascii="Times New Roman" w:hAnsi="Times New Roman"/>
      <w:b/>
      <w:bCs/>
      <w:sz w:val="18"/>
      <w:szCs w:val="18"/>
    </w:rPr>
  </w:style>
  <w:style w:type="paragraph" w:customStyle="1" w:styleId="xl114">
    <w:name w:val="xl114"/>
    <w:basedOn w:val="Normal"/>
    <w:pPr>
      <w:pBdr>
        <w:left w:val="single" w:sz="4" w:space="0" w:color="auto"/>
        <w:bottom w:val="single" w:sz="4" w:space="0" w:color="auto"/>
      </w:pBdr>
      <w:shd w:val="clear" w:color="000000" w:fill="F2F2F2"/>
      <w:spacing w:before="100" w:beforeAutospacing="1" w:after="100" w:afterAutospacing="1"/>
      <w:jc w:val="center"/>
    </w:pPr>
    <w:rPr>
      <w:rFonts w:ascii="Times New Roman" w:hAnsi="Times New Roman"/>
      <w:sz w:val="18"/>
      <w:szCs w:val="18"/>
    </w:rPr>
  </w:style>
  <w:style w:type="paragraph" w:customStyle="1" w:styleId="xl115">
    <w:name w:val="xl11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6">
    <w:name w:val="xl11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18"/>
      <w:szCs w:val="18"/>
    </w:rPr>
  </w:style>
  <w:style w:type="paragraph" w:customStyle="1" w:styleId="xl117">
    <w:name w:val="xl117"/>
    <w:basedOn w:val="Normal"/>
    <w:pPr>
      <w:pBdr>
        <w:left w:val="single" w:sz="4" w:space="0" w:color="auto"/>
        <w:bottom w:val="single" w:sz="4" w:space="0" w:color="auto"/>
        <w:right w:val="single" w:sz="4" w:space="0" w:color="auto"/>
      </w:pBdr>
      <w:shd w:val="clear" w:color="000000" w:fill="DFDFDF"/>
      <w:spacing w:before="100" w:beforeAutospacing="1" w:after="100" w:afterAutospacing="1"/>
      <w:jc w:val="left"/>
      <w:textAlignment w:val="top"/>
    </w:pPr>
    <w:rPr>
      <w:rFonts w:ascii="Times New Roman" w:hAnsi="Times New Roman"/>
      <w:b/>
      <w:bCs/>
      <w:sz w:val="24"/>
    </w:rPr>
  </w:style>
  <w:style w:type="paragraph" w:customStyle="1" w:styleId="xl118">
    <w:name w:val="xl118"/>
    <w:basedOn w:val="Normal"/>
    <w:pPr>
      <w:pBdr>
        <w:left w:val="single" w:sz="4" w:space="0" w:color="auto"/>
        <w:bottom w:val="single" w:sz="4" w:space="0" w:color="auto"/>
      </w:pBdr>
      <w:shd w:val="clear" w:color="000000" w:fill="DFDFDF"/>
      <w:spacing w:before="100" w:beforeAutospacing="1" w:after="100" w:afterAutospacing="1"/>
      <w:jc w:val="left"/>
      <w:textAlignment w:val="top"/>
    </w:pPr>
    <w:rPr>
      <w:rFonts w:ascii="Times New Roman" w:hAnsi="Times New Roman"/>
      <w:b/>
      <w:bCs/>
      <w:sz w:val="24"/>
    </w:rPr>
  </w:style>
  <w:style w:type="paragraph" w:customStyle="1" w:styleId="xl119">
    <w:name w:val="xl119"/>
    <w:basedOn w:val="Normal"/>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hAnsi="Times New Roman"/>
      <w:b/>
      <w:bCs/>
      <w:sz w:val="24"/>
    </w:rPr>
  </w:style>
  <w:style w:type="paragraph" w:customStyle="1" w:styleId="xl120">
    <w:name w:val="xl120"/>
    <w:basedOn w:val="Normal"/>
    <w:pPr>
      <w:pBdr>
        <w:bottom w:val="single" w:sz="4" w:space="0" w:color="auto"/>
        <w:right w:val="single" w:sz="4" w:space="0" w:color="auto"/>
      </w:pBdr>
      <w:shd w:val="clear" w:color="000000" w:fill="DFDFDF"/>
      <w:spacing w:before="100" w:beforeAutospacing="1" w:after="100" w:afterAutospacing="1"/>
      <w:jc w:val="center"/>
      <w:textAlignment w:val="top"/>
    </w:pPr>
    <w:rPr>
      <w:rFonts w:ascii="Times New Roman" w:hAnsi="Times New Roman"/>
      <w:sz w:val="28"/>
      <w:szCs w:val="28"/>
    </w:rPr>
  </w:style>
  <w:style w:type="paragraph" w:customStyle="1" w:styleId="xl121">
    <w:name w:val="xl121"/>
    <w:basedOn w:val="Normal"/>
    <w:pPr>
      <w:pBdr>
        <w:top w:val="single" w:sz="4" w:space="0" w:color="auto"/>
        <w:left w:val="single" w:sz="4" w:space="0" w:color="auto"/>
        <w:right w:val="single" w:sz="4" w:space="0" w:color="auto"/>
      </w:pBdr>
      <w:shd w:val="clear" w:color="000000" w:fill="C2D69A"/>
      <w:spacing w:before="100" w:beforeAutospacing="1" w:after="100" w:afterAutospacing="1"/>
      <w:jc w:val="center"/>
      <w:textAlignment w:val="center"/>
    </w:pPr>
    <w:rPr>
      <w:rFonts w:ascii="Times New Roman" w:hAnsi="Times New Roman"/>
      <w:sz w:val="24"/>
    </w:rPr>
  </w:style>
  <w:style w:type="paragraph" w:customStyle="1" w:styleId="CabealhodoSumrio">
    <w:name w:val="Cabeçalho do Sumário"/>
    <w:basedOn w:val="Titre1"/>
    <w:next w:val="Normal"/>
    <w:semiHidden/>
    <w:unhideWhenUsed/>
    <w:qFormat/>
    <w:pPr>
      <w:keepLines/>
      <w:suppressAutoHyphens w:val="0"/>
      <w:spacing w:before="480" w:after="0" w:line="276" w:lineRule="auto"/>
      <w:jc w:val="left"/>
      <w:outlineLvl w:val="9"/>
    </w:pPr>
    <w:rPr>
      <w:rFonts w:ascii="Cambria" w:hAnsi="Cambria"/>
      <w:bCs/>
      <w:smallCaps w:val="0"/>
      <w:color w:val="365F91"/>
      <w:spacing w:val="0"/>
      <w:sz w:val="28"/>
      <w:szCs w:val="28"/>
    </w:rPr>
  </w:style>
  <w:style w:type="paragraph" w:customStyle="1" w:styleId="PargrafodaLista">
    <w:name w:val="Parágrafo da Lista"/>
    <w:basedOn w:val="Normal"/>
    <w:qFormat/>
    <w:pPr>
      <w:spacing w:after="200" w:line="276" w:lineRule="auto"/>
      <w:ind w:left="720"/>
      <w:contextualSpacing/>
      <w:jc w:val="left"/>
    </w:pPr>
    <w:rPr>
      <w:rFonts w:ascii="Cambria" w:hAnsi="Cambria"/>
      <w:szCs w:val="22"/>
    </w:rPr>
  </w:style>
  <w:style w:type="paragraph" w:customStyle="1" w:styleId="font8">
    <w:name w:val="font8"/>
    <w:basedOn w:val="Normal"/>
    <w:pPr>
      <w:spacing w:before="100" w:beforeAutospacing="1" w:after="100" w:afterAutospacing="1"/>
      <w:jc w:val="left"/>
    </w:pPr>
    <w:rPr>
      <w:rFonts w:ascii="Times New Roman" w:hAnsi="Times New Roman"/>
      <w:color w:val="000000"/>
      <w:sz w:val="18"/>
      <w:szCs w:val="18"/>
    </w:rPr>
  </w:style>
  <w:style w:type="paragraph" w:customStyle="1" w:styleId="font9">
    <w:name w:val="font9"/>
    <w:basedOn w:val="Normal"/>
    <w:pPr>
      <w:spacing w:before="100" w:beforeAutospacing="1" w:after="100" w:afterAutospacing="1"/>
      <w:jc w:val="left"/>
    </w:pPr>
    <w:rPr>
      <w:rFonts w:ascii="Times New Roman" w:hAnsi="Times New Roman"/>
      <w:i/>
      <w:iCs/>
      <w:color w:val="000000"/>
      <w:sz w:val="18"/>
      <w:szCs w:val="18"/>
    </w:rPr>
  </w:style>
  <w:style w:type="paragraph" w:customStyle="1" w:styleId="font10">
    <w:name w:val="font10"/>
    <w:basedOn w:val="Normal"/>
    <w:pPr>
      <w:spacing w:before="100" w:beforeAutospacing="1" w:after="100" w:afterAutospacing="1"/>
      <w:jc w:val="left"/>
    </w:pPr>
    <w:rPr>
      <w:rFonts w:ascii="Times New Roman" w:hAnsi="Times New Roman"/>
      <w:b/>
      <w:bCs/>
      <w:i/>
      <w:iCs/>
      <w:color w:val="000000"/>
      <w:sz w:val="18"/>
      <w:szCs w:val="18"/>
    </w:rPr>
  </w:style>
  <w:style w:type="paragraph" w:customStyle="1" w:styleId="font11">
    <w:name w:val="font11"/>
    <w:basedOn w:val="Normal"/>
    <w:pPr>
      <w:spacing w:before="100" w:beforeAutospacing="1" w:after="100" w:afterAutospacing="1"/>
      <w:jc w:val="left"/>
    </w:pPr>
    <w:rPr>
      <w:rFonts w:ascii="Tahoma" w:hAnsi="Tahoma" w:cs="Tahoma"/>
      <w:b/>
      <w:bCs/>
      <w:color w:val="000000"/>
      <w:sz w:val="18"/>
      <w:szCs w:val="18"/>
      <w:u w:val="single"/>
    </w:rPr>
  </w:style>
  <w:style w:type="paragraph" w:customStyle="1" w:styleId="xl122">
    <w:name w:val="xl122"/>
    <w:basedOn w:val="Normal"/>
    <w:pPr>
      <w:spacing w:before="100" w:beforeAutospacing="1" w:after="100" w:afterAutospacing="1"/>
      <w:jc w:val="center"/>
    </w:pPr>
    <w:rPr>
      <w:rFonts w:ascii="Calibri" w:hAnsi="Calibri"/>
      <w:color w:val="000000"/>
      <w:szCs w:val="22"/>
    </w:rPr>
  </w:style>
  <w:style w:type="paragraph" w:customStyle="1" w:styleId="sdfootnote">
    <w:name w:val="sdfootnote"/>
    <w:basedOn w:val="Normal"/>
    <w:pPr>
      <w:spacing w:beforeLines="1" w:after="0"/>
      <w:ind w:left="288" w:hanging="288"/>
      <w:jc w:val="left"/>
    </w:pPr>
    <w:rPr>
      <w:rFonts w:ascii="Times" w:hAnsi="Times"/>
      <w:sz w:val="20"/>
      <w:szCs w:val="20"/>
    </w:rPr>
  </w:style>
  <w:style w:type="character" w:customStyle="1" w:styleId="EmailStyle2791">
    <w:name w:val="EmailStyle2791"/>
    <w:semiHidden/>
    <w:rPr>
      <w:rFonts w:ascii="Arial" w:hAnsi="Arial"/>
      <w:color w:val="000080"/>
      <w:sz w:val="20"/>
      <w:lang w:val="fr-FR" w:eastAsia="fr-FR"/>
    </w:rPr>
  </w:style>
  <w:style w:type="paragraph" w:styleId="TM6">
    <w:name w:val="toc 6"/>
    <w:basedOn w:val="Normal"/>
    <w:next w:val="Normal"/>
    <w:autoRedefine/>
    <w:uiPriority w:val="39"/>
    <w:unhideWhenUsed/>
    <w:pPr>
      <w:spacing w:after="100" w:line="276" w:lineRule="auto"/>
      <w:ind w:left="1100"/>
      <w:jc w:val="left"/>
    </w:pPr>
    <w:rPr>
      <w:rFonts w:ascii="Cambria" w:hAnsi="Cambria"/>
      <w:szCs w:val="22"/>
    </w:rPr>
  </w:style>
  <w:style w:type="paragraph" w:styleId="TM7">
    <w:name w:val="toc 7"/>
    <w:basedOn w:val="Normal"/>
    <w:next w:val="Normal"/>
    <w:autoRedefine/>
    <w:uiPriority w:val="39"/>
    <w:unhideWhenUsed/>
    <w:pPr>
      <w:spacing w:after="100" w:line="276" w:lineRule="auto"/>
      <w:ind w:left="1320"/>
      <w:jc w:val="left"/>
    </w:pPr>
    <w:rPr>
      <w:rFonts w:ascii="Cambria" w:hAnsi="Cambria"/>
      <w:szCs w:val="22"/>
    </w:rPr>
  </w:style>
  <w:style w:type="paragraph" w:styleId="TM8">
    <w:name w:val="toc 8"/>
    <w:basedOn w:val="Normal"/>
    <w:next w:val="Normal"/>
    <w:autoRedefine/>
    <w:uiPriority w:val="39"/>
    <w:unhideWhenUsed/>
    <w:pPr>
      <w:spacing w:after="100" w:line="276" w:lineRule="auto"/>
      <w:ind w:left="1540"/>
      <w:jc w:val="left"/>
    </w:pPr>
    <w:rPr>
      <w:rFonts w:ascii="Cambria" w:hAnsi="Cambria"/>
      <w:szCs w:val="22"/>
    </w:rPr>
  </w:style>
  <w:style w:type="paragraph" w:styleId="TM9">
    <w:name w:val="toc 9"/>
    <w:basedOn w:val="Normal"/>
    <w:next w:val="Normal"/>
    <w:autoRedefine/>
    <w:uiPriority w:val="39"/>
    <w:unhideWhenUsed/>
    <w:pPr>
      <w:spacing w:after="100" w:line="276" w:lineRule="auto"/>
      <w:ind w:left="1760"/>
      <w:jc w:val="left"/>
    </w:pPr>
    <w:rPr>
      <w:rFonts w:ascii="Cambria" w:hAnsi="Cambria"/>
      <w:szCs w:val="22"/>
    </w:rPr>
  </w:style>
  <w:style w:type="table" w:styleId="Trameclaire-Accent6">
    <w:name w:val="Light Shading Accent 6"/>
    <w:basedOn w:val="TableauNormal"/>
    <w:uiPriority w:val="60"/>
    <w:rPr>
      <w:color w:val="E36C0A"/>
      <w:lang w:val="es-ES" w:eastAsia="es-E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Grilleclaire-Accent6">
    <w:name w:val="Light Grid Accent 6"/>
    <w:basedOn w:val="TableauNormal"/>
    <w:uiPriority w:val="62"/>
    <w:rPr>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Times New Roman" w:hAnsi="Times New Roman"/>
      <w:b/>
      <w:bCs/>
      <w:sz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sz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sz w:val="24"/>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b/>
      <w:bCs/>
      <w:sz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top"/>
    </w:pPr>
    <w:rPr>
      <w:rFonts w:ascii="Times New Roman" w:hAnsi="Times New Roman"/>
      <w:sz w:val="24"/>
    </w:rPr>
  </w:style>
  <w:style w:type="paragraph" w:customStyle="1" w:styleId="xl129">
    <w:name w:val="xl129"/>
    <w:basedOn w:val="Normal"/>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30">
    <w:name w:val="xl130"/>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31">
    <w:name w:val="xl131"/>
    <w:basedOn w:val="Normal"/>
    <w:pPr>
      <w:spacing w:before="100" w:beforeAutospacing="1" w:after="100" w:afterAutospacing="1"/>
      <w:jc w:val="right"/>
    </w:pPr>
    <w:rPr>
      <w:rFonts w:ascii="Times New Roman" w:hAnsi="Times New Roman"/>
      <w:sz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rFonts w:ascii="Times New Roman" w:hAnsi="Times New Roman"/>
      <w:b/>
      <w:bCs/>
      <w:sz w:val="24"/>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rFonts w:ascii="Times New Roman" w:hAnsi="Times New Roman"/>
      <w:sz w:val="24"/>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sz w:val="24"/>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imes New Roman" w:hAnsi="Times New Roman"/>
      <w:b/>
      <w:bCs/>
      <w:sz w:val="24"/>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rFonts w:ascii="Times New Roman" w:hAnsi="Times New Roman"/>
      <w:b/>
      <w:bCs/>
      <w:sz w:val="24"/>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b/>
      <w:bCs/>
      <w:sz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sz w:val="24"/>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imes New Roman" w:hAnsi="Times New Roman"/>
      <w:sz w:val="24"/>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imes New Roman" w:hAnsi="Times New Roman"/>
      <w:b/>
      <w:bCs/>
      <w:sz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b/>
      <w:bCs/>
      <w:sz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b/>
      <w:bCs/>
      <w:sz w:val="24"/>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sz w:val="24"/>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sz w:val="24"/>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sz w:val="24"/>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b/>
      <w:bCs/>
      <w:sz w:val="24"/>
    </w:rPr>
  </w:style>
  <w:style w:type="paragraph" w:customStyle="1" w:styleId="xl147">
    <w:name w:val="xl147"/>
    <w:basedOn w:val="Normal"/>
    <w:pPr>
      <w:spacing w:before="100" w:beforeAutospacing="1" w:after="100" w:afterAutospacing="1"/>
      <w:jc w:val="left"/>
    </w:pPr>
    <w:rPr>
      <w:rFonts w:ascii="Times New Roman" w:hAnsi="Times New Roman"/>
      <w:sz w:val="24"/>
    </w:rPr>
  </w:style>
  <w:style w:type="paragraph" w:customStyle="1" w:styleId="xl148">
    <w:name w:val="xl148"/>
    <w:basedOn w:val="Normal"/>
    <w:pPr>
      <w:pBdr>
        <w:top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149">
    <w:name w:val="xl149"/>
    <w:basedOn w:val="Normal"/>
    <w:pPr>
      <w:spacing w:before="100" w:beforeAutospacing="1" w:after="100" w:afterAutospacing="1"/>
      <w:jc w:val="left"/>
    </w:pPr>
    <w:rPr>
      <w:rFonts w:ascii="Times New Roman" w:hAnsi="Times New Roman"/>
      <w:sz w:val="24"/>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DD0806"/>
      <w:sz w:val="24"/>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sz w:val="24"/>
    </w:rPr>
  </w:style>
  <w:style w:type="paragraph" w:customStyle="1" w:styleId="xl152">
    <w:name w:val="xl152"/>
    <w:basedOn w:val="Normal"/>
    <w:pPr>
      <w:spacing w:before="100" w:beforeAutospacing="1" w:after="100" w:afterAutospacing="1"/>
      <w:jc w:val="left"/>
    </w:pPr>
    <w:rPr>
      <w:rFonts w:ascii="Times New Roman" w:hAnsi="Times New Roman"/>
      <w:sz w:val="24"/>
    </w:rPr>
  </w:style>
  <w:style w:type="paragraph" w:customStyle="1" w:styleId="xl153">
    <w:name w:val="xl153"/>
    <w:basedOn w:val="Normal"/>
    <w:pPr>
      <w:spacing w:before="100" w:beforeAutospacing="1" w:after="100" w:afterAutospacing="1"/>
      <w:jc w:val="center"/>
    </w:pPr>
    <w:rPr>
      <w:rFonts w:ascii="Times New Roman" w:hAnsi="Times New Roman"/>
      <w:sz w:val="24"/>
    </w:rPr>
  </w:style>
  <w:style w:type="paragraph" w:customStyle="1" w:styleId="xl154">
    <w:name w:val="xl154"/>
    <w:basedOn w:val="Normal"/>
    <w:pPr>
      <w:spacing w:before="100" w:beforeAutospacing="1" w:after="100" w:afterAutospacing="1"/>
      <w:jc w:val="left"/>
    </w:pPr>
    <w:rPr>
      <w:rFonts w:ascii="Times New Roman" w:hAnsi="Times New Roman"/>
      <w:color w:val="969696"/>
      <w:sz w:val="24"/>
    </w:rPr>
  </w:style>
  <w:style w:type="paragraph" w:customStyle="1" w:styleId="xl155">
    <w:name w:val="xl155"/>
    <w:basedOn w:val="Normal"/>
    <w:pPr>
      <w:spacing w:before="100" w:beforeAutospacing="1" w:after="100" w:afterAutospacing="1"/>
      <w:jc w:val="left"/>
    </w:pPr>
    <w:rPr>
      <w:rFonts w:ascii="Times New Roman" w:hAnsi="Times New Roman"/>
      <w:b/>
      <w:bCs/>
      <w:sz w:val="24"/>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Times New Roman" w:hAnsi="Times New Roman"/>
      <w:sz w:val="2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sz w:val="2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imes New Roman" w:hAnsi="Times New Roman"/>
      <w:sz w:val="2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sz w:val="2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Times New Roman" w:hAnsi="Times New Roman"/>
      <w:b/>
      <w:bCs/>
      <w:sz w:val="2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rFonts w:ascii="Times New Roman" w:hAnsi="Times New Roman"/>
      <w:b/>
      <w:bCs/>
      <w:sz w:val="2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b/>
      <w:bCs/>
      <w:sz w:val="24"/>
    </w:rPr>
  </w:style>
  <w:style w:type="paragraph" w:customStyle="1" w:styleId="xl166">
    <w:name w:val="xl166"/>
    <w:basedOn w:val="Normal"/>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Times New Roman" w:hAnsi="Times New Roman"/>
      <w:b/>
      <w:bCs/>
      <w:sz w:val="24"/>
    </w:rPr>
  </w:style>
  <w:style w:type="table" w:styleId="Listeclaire-Accent3">
    <w:name w:val="Light List Accent 3"/>
    <w:basedOn w:val="TableauNormal"/>
    <w:uiPriority w:val="61"/>
    <w:rPr>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Bbb">
    <w:name w:val="Bbb"/>
    <w:basedOn w:val="Normal"/>
    <w:uiPriority w:val="99"/>
    <w:pPr>
      <w:tabs>
        <w:tab w:val="num" w:pos="1080"/>
      </w:tabs>
      <w:spacing w:before="120" w:after="0"/>
      <w:jc w:val="left"/>
    </w:pPr>
    <w:rPr>
      <w:rFonts w:ascii="Times New Roman" w:hAnsi="Times New Roman"/>
      <w:szCs w:val="22"/>
    </w:rPr>
  </w:style>
  <w:style w:type="paragraph" w:customStyle="1" w:styleId="xl167">
    <w:name w:val="xl1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70C0"/>
      <w:sz w:val="24"/>
    </w:rPr>
  </w:style>
  <w:style w:type="paragraph" w:customStyle="1" w:styleId="xl168">
    <w:name w:val="xl168"/>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70C0"/>
      <w:sz w:val="24"/>
    </w:rPr>
  </w:style>
  <w:style w:type="paragraph" w:customStyle="1" w:styleId="xl169">
    <w:name w:val="xl16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rPr>
  </w:style>
  <w:style w:type="paragraph" w:customStyle="1" w:styleId="xl170">
    <w:name w:val="xl1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rPr>
  </w:style>
  <w:style w:type="character" w:customStyle="1" w:styleId="EmailStyle336">
    <w:name w:val="EmailStyle336"/>
    <w:semiHidden/>
    <w:rPr>
      <w:rFonts w:ascii="Arial" w:hAnsi="Arial"/>
      <w:color w:val="000080"/>
      <w:sz w:val="20"/>
      <w:lang w:val="fr-FR" w:eastAsia="fr-FR"/>
    </w:rPr>
  </w:style>
  <w:style w:type="character" w:customStyle="1" w:styleId="EmailStyle337">
    <w:name w:val="EmailStyle337"/>
    <w:semiHidden/>
    <w:rPr>
      <w:rFonts w:ascii="Arial" w:hAnsi="Arial"/>
      <w:color w:val="000080"/>
      <w:sz w:val="20"/>
      <w:lang w:val="fr-FR" w:eastAsia="fr-FR"/>
    </w:rPr>
  </w:style>
  <w:style w:type="table" w:customStyle="1" w:styleId="TableGrid3">
    <w:name w:val="Table Grid3"/>
    <w:basedOn w:val="TableauNormal"/>
    <w:next w:val="Grilledutableau"/>
    <w:uiPriority w:val="39"/>
    <w:rPr>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Normal"/>
    <w:qFormat/>
    <w:pPr>
      <w:numPr>
        <w:numId w:val="15"/>
      </w:numPr>
      <w:tabs>
        <w:tab w:val="left" w:pos="360"/>
      </w:tabs>
      <w:spacing w:before="120" w:after="120" w:line="264" w:lineRule="auto"/>
      <w:jc w:val="left"/>
    </w:pPr>
    <w:rPr>
      <w:rFonts w:ascii="Calibri" w:eastAsia="MS Mincho" w:hAnsi="Calibri"/>
      <w:sz w:val="20"/>
      <w:szCs w:val="20"/>
    </w:rPr>
  </w:style>
  <w:style w:type="character" w:customStyle="1" w:styleId="tw4winExternal">
    <w:name w:val="tw4winExternal"/>
    <w:qFormat/>
    <w:rPr>
      <w:rFonts w:ascii="Courier New" w:hAnsi="Courier New"/>
      <w:noProof/>
      <w:color w:val="808080"/>
      <w:lang w:val="fr-FR" w:eastAsia="fr-FR"/>
    </w:rPr>
  </w:style>
  <w:style w:type="character" w:customStyle="1" w:styleId="tw4winInternal">
    <w:name w:val="tw4winInternal"/>
    <w:rPr>
      <w:rFonts w:ascii="Courier New" w:hAnsi="Courier New"/>
      <w:noProof/>
      <w:color w:val="3366F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sa=i&amp;rct=j&amp;q=&amp;esrc=s&amp;source=images&amp;cd=&amp;cad=rja&amp;uact=8&amp;ved=0CAcQjRw&amp;url=http://www.bellaonline.com/articles/art68203.asp&amp;ei=CvhIVNGKHteMNpWRgdAF&amp;bvm=bv.77880786,d.eXY&amp;psig=AFQjCNFM2M-idQQjdTmi6XMYp5E0kGXUVg&amp;ust=1414154632904254" TargetMode="External"/><Relationship Id="rId18" Type="http://schemas.openxmlformats.org/officeDocument/2006/relationships/footer" Target="footer1.xml"/><Relationship Id="rId26" Type="http://schemas.openxmlformats.org/officeDocument/2006/relationships/hyperlink" Target="http://intra.undp.org/branding/useOfLogo.html" TargetMode="Externa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intra.undp.org/coa/branding.shtml" TargetMode="External"/><Relationship Id="rId33" Type="http://schemas.openxmlformats.org/officeDocument/2006/relationships/header" Target="header1.xm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29" Type="http://schemas.openxmlformats.org/officeDocument/2006/relationships/hyperlink" Target="http://intra.undp.org/coa/branding.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localhost/cid/image001.png@01D07D7B.499A6910" TargetMode="External"/><Relationship Id="rId24" Type="http://schemas.openxmlformats.org/officeDocument/2006/relationships/hyperlink" Target="http://erc.undp.org/index.aspx?module=Intra" TargetMode="External"/><Relationship Id="rId32" Type="http://schemas.openxmlformats.org/officeDocument/2006/relationships/hyperlink" Target="http://www.un.org/Docs/sc/committees/1267/1267ListEng.htm" TargetMode="External"/><Relationship Id="rId37"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erc.undp.org/index.aspx?module=Intra" TargetMode="External"/><Relationship Id="rId28" Type="http://schemas.openxmlformats.org/officeDocument/2006/relationships/hyperlink" Target="http://www.thegef.org/gef/GEF_logo" TargetMode="External"/><Relationship Id="rId36"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www.thegef.org/gef/sites/thegef.org/files/documents/C.40.08_Branding_the_GEF%20final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7.emf"/><Relationship Id="rId27" Type="http://schemas.openxmlformats.org/officeDocument/2006/relationships/hyperlink" Target="http://www.thegef.org/gef/GEF_logo" TargetMode="External"/><Relationship Id="rId30" Type="http://schemas.openxmlformats.org/officeDocument/2006/relationships/hyperlink" Target="http://intra.undp.org/coa/branding.shtml" TargetMode="External"/><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 xsi:nil="true"/>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GIN</TermName>
          <TermId xmlns="http://schemas.microsoft.com/office/infopath/2007/PartnerControls">1635b5b0-a78e-4c40-8849-360f9e018cdd</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ATLASPDC-4-40013</_dlc_DocId>
    <TaxCatchAll xmlns="1ed4137b-41b2-488b-8250-6d369ec27664">
      <Value>1110</Value>
      <Value>233</Value>
      <Value>1363</Value>
      <Value>296</Value>
      <Value>763</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2015-09-29T17:00:00+00:00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00075270</UndpProjectNo>
    <_dlc_DocIdUrl xmlns="f1161f5b-24a3-4c2d-bc81-44cb9325e8ee">
      <Url>https://info.undp.org/docs/pdc/_layouts/DocIdRedir.aspx?ID=ATLASPDC-4-40013</Url>
      <Description>ATLASPDC-4-40013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9523559-CECB-4CAD-ADE0-D5A6F4D2EAF4}"/>
</file>

<file path=customXml/itemProps2.xml><?xml version="1.0" encoding="utf-8"?>
<ds:datastoreItem xmlns:ds="http://schemas.openxmlformats.org/officeDocument/2006/customXml" ds:itemID="{C93FDE21-828F-455A-A06F-40C0FB25432A}"/>
</file>

<file path=customXml/itemProps3.xml><?xml version="1.0" encoding="utf-8"?>
<ds:datastoreItem xmlns:ds="http://schemas.openxmlformats.org/officeDocument/2006/customXml" ds:itemID="{9BC29831-6787-451F-B8AB-AE4EA0D9BAC0}"/>
</file>

<file path=customXml/itemProps4.xml><?xml version="1.0" encoding="utf-8"?>
<ds:datastoreItem xmlns:ds="http://schemas.openxmlformats.org/officeDocument/2006/customXml" ds:itemID="{1C4A2ECD-5EBC-41B1-B60D-5D544EEA8E87}"/>
</file>

<file path=customXml/itemProps5.xml><?xml version="1.0" encoding="utf-8"?>
<ds:datastoreItem xmlns:ds="http://schemas.openxmlformats.org/officeDocument/2006/customXml" ds:itemID="{E0F3FD84-16AE-4716-9E55-28F4BA3AB4E7}"/>
</file>

<file path=customXml/itemProps6.xml><?xml version="1.0" encoding="utf-8"?>
<ds:datastoreItem xmlns:ds="http://schemas.openxmlformats.org/officeDocument/2006/customXml" ds:itemID="{09E41681-3BCF-42E1-A254-8027C0556BA7}"/>
</file>

<file path=docProps/app.xml><?xml version="1.0" encoding="utf-8"?>
<Properties xmlns="http://schemas.openxmlformats.org/officeDocument/2006/extended-properties" xmlns:vt="http://schemas.openxmlformats.org/officeDocument/2006/docPropsVTypes">
  <Template>Normal</Template>
  <TotalTime>0</TotalTime>
  <Pages>1</Pages>
  <Words>27757</Words>
  <Characters>152664</Characters>
  <Application>Microsoft Office Word</Application>
  <DocSecurity>0</DocSecurity>
  <Lines>1272</Lines>
  <Paragraphs>360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Project Document</vt:lpstr>
      <vt:lpstr>Project Document</vt:lpstr>
    </vt:vector>
  </TitlesOfParts>
  <Manager>BDP/BOM</Manager>
  <Company>UNDP</Company>
  <LinksUpToDate>false</LinksUpToDate>
  <CharactersWithSpaces>180061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Création d'un marché à des fins de développement et d'utilisation de ressources en biogaz en Guinée.</dc:title>
  <dc:subject>Project Management</dc:subject>
  <dc:creator/>
  <cp:keywords/>
  <dc:description/>
  <cp:lastModifiedBy>Fode Keita</cp:lastModifiedBy>
  <cp:revision>3</cp:revision>
  <cp:lastPrinted>2014-12-04T06:17:00Z</cp:lastPrinted>
  <dcterms:created xsi:type="dcterms:W3CDTF">2015-09-16T07:59:00Z</dcterms:created>
  <dcterms:modified xsi:type="dcterms:W3CDTF">2015-09-16T07:59:00Z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Atlas_x0020_Document_x0020_Type">
    <vt:lpwstr>228;#Prodoc|5f41516e-5ee3-43b6-82ea-9b89532838d0</vt:lpwstr>
  </property>
  <property fmtid="{D5CDD505-2E9C-101B-9397-08002B2CF9AE}" pid="4" name="UNDPCountry">
    <vt:lpwstr/>
  </property>
  <property fmtid="{D5CDD505-2E9C-101B-9397-08002B2CF9AE}" pid="5" name="UNDPDocumentCategory">
    <vt:lpwstr/>
  </property>
  <property fmtid="{D5CDD505-2E9C-101B-9397-08002B2CF9AE}" pid="6" name="UnitTaxHTField0">
    <vt:lpwstr/>
  </property>
  <property fmtid="{D5CDD505-2E9C-101B-9397-08002B2CF9AE}" pid="7" name="UN Languages">
    <vt:lpwstr>233;#French|946783f8-cd0b-41e2-848e-7777f631248e</vt:lpwstr>
  </property>
  <property fmtid="{D5CDD505-2E9C-101B-9397-08002B2CF9AE}" pid="8" name="Operating Unit0">
    <vt:lpwstr>1363;#GIN|1635b5b0-a78e-4c40-8849-360f9e018cdd</vt:lpwstr>
  </property>
  <property fmtid="{D5CDD505-2E9C-101B-9397-08002B2CF9AE}" pid="9" name="Atlas Document Status">
    <vt:lpwstr>763;#Draft|121d40a5-e62e-4d42-82e4-d6d12003de0a</vt:lpwstr>
  </property>
  <property fmtid="{D5CDD505-2E9C-101B-9397-08002B2CF9AE}" pid="10" name="_dlc_DocIdItemGuid">
    <vt:lpwstr>3c9f4cc3-f1a4-46f1-a6f0-6e2acbfe2f45</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it">
    <vt:lpwstr/>
  </property>
  <property fmtid="{D5CDD505-2E9C-101B-9397-08002B2CF9AE}" pid="15" name="UNDPFocusAreas">
    <vt:lpwstr>296;#Environment and Energy|507850c5-118d-4c78-99b1-c760df552b10</vt:lpwstr>
  </property>
  <property fmtid="{D5CDD505-2E9C-101B-9397-08002B2CF9AE}" pid="16" name="UndpDocTypeMM">
    <vt:lpwstr/>
  </property>
  <property fmtid="{D5CDD505-2E9C-101B-9397-08002B2CF9AE}" pid="17" name="URL">
    <vt:lpwstr/>
  </property>
  <property fmtid="{D5CDD505-2E9C-101B-9397-08002B2CF9AE}" pid="18" name="DocumentSetDescription">
    <vt:lpwstr/>
  </property>
</Properties>
</file>